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9" Type="http://schemas.openxmlformats.org/officeDocument/2006/relationships/extended-properties" Target="docProps/app.xml"/><Relationship Id="rId1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 w:lineRule="atLeast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7 ноября 2024 года № 20</w:t>
      </w:r>
    </w:p>
    <w:p>
      <w:pPr>
        <w:jc w:val="left"/>
        <w:textAlignment w:val="auto"/>
        <w:ind w:left="0" w:right="0" w:start="0" w:end="0"/>
        <w:adjustRightInd w:val="true"/>
        <w:spacing w:after="0" w:line="240" w:lineRule="atLeast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Собрания представителей муниципального образования «Город Пикалево» от 21 марта 2005 года № 18 «Об установлении нормы предоставления площади жилого помещения, учетной нормы площади жилого помещения»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kern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со статьей 50 Жилищного кодекса Российской Федерации, Федеральным законом от 06.10.2003 года № 131-ФЗ «Об общих принципах организации местного самоуправления в Российской Федерации» Совет </w:t>
      </w:r>
      <w:r>
        <w:rPr>
          <w:rFonts w:ascii="Times New Roman" w:eastAsia="Times New Roman" w:hAnsi="Times New Roman" w:cs="Times New Roman"/>
          <w:sz w:val="28"/>
          <w:kern w:val="28"/>
        </w:rPr>
        <w:t xml:space="preserve">депутатов муниципального образования Пикалевское городское поселение решил: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Внести изменение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решение Собрания представителей муниципального образования «Город Пикалево»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от 21 марта 2005 года № 18 «Об установлении нормы предоставления площади жилого помещения, учетной нормы площади жилого помещения» (с изменениями, внесенными решениями от 25 февраля 2016 года № 10, от 24 ноября 2017 года № 57, изложив пункт 1.2. в новой редакции:</w:t>
      </w:r>
    </w:p>
    <w:p>
      <w:pPr>
        <w:keepNext w:val="true"/>
        <w:outlineLvl w:val="2"/>
        <w:jc w:val="both"/>
        <w:textAlignment w:val="auto"/>
        <w:ind w:firstLine="567" w:left="0" w:right="0" w:start="0" w:end="0"/>
        <w:adjustRightInd w:val="true"/>
        <w:spacing w:after="0" w:line="240" w:lineRule="atLeast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«1.2. Норму предоставления площади жилого помещения по договору социального найма, в размере 12 квадратных метров общей площади жилого помещения на одного члена семьи, состоящей из двух и более человек, и для одиноко проживающего гражданина 18 квадратных метров общей площади жилого помещения.».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Настоящее решение подлежит опубликованию в газете «Рабочее слово» и размещению на официальном сайте 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 xml:space="preserve">.</w:t>
      </w:r>
    </w:p>
    <w:p>
      <w:pPr>
        <w:suppressAutoHyphens/>
        <w:jc w:val="both"/>
        <w:textAlignment w:val="auto"/>
        <w:ind w:firstLine="567" w:left="0" w:right="0" w:start="0" w:end="0"/>
        <w:adjustRightInd w:val="true"/>
        <w:spacing w:after="0" w:line="240" w:lineRule="atLeast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Контроль за исполнением данного решения возложить на главу администрации </w:t>
      </w:r>
      <w:r>
        <w:rPr>
          <w:rFonts w:ascii="Times New Roman" w:eastAsia="Times New Roman" w:hAnsi="Times New Roman" w:cs="Times New Roman"/>
          <w:sz w:val="28"/>
          <w:kern w:val="28"/>
        </w:rPr>
        <w:t xml:space="preserve">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 xml:space="preserve">.</w:t>
      </w:r>
    </w:p>
    <w:p>
      <w:pPr>
        <w:jc w:val="both"/>
        <w:textAlignment w:val="auto"/>
        <w:ind w:left="0" w:right="0" w:start="0" w:end="0"/>
        <w:adjustRightInd w:val="true"/>
        <w:spacing w:after="0" w:line="240" w:lineRule="atLeast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 w:lineRule="atLeast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 w:lineRule="atLeast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 w:lineRule="atLeast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spacing w:val="1"/>
          <w:rFonts w:ascii="Times New Roman" w:eastAsia="Times New Roman" w:hAnsi="Times New Roman" w:cs="Times New Roman"/>
          <w:sz w:val="28"/>
          <w:color w:val="000000"/>
        </w:rPr>
        <w:t xml:space="preserve">Глава </w:t>
      </w:r>
      <w:r>
        <w:rPr>
          <w:spacing w:val="3"/>
          <w:rFonts w:ascii="Times New Roman" w:eastAsia="Times New Roman" w:hAnsi="Times New Roman" w:cs="Times New Roman"/>
          <w:sz w:val="28"/>
          <w:color w:val="000000"/>
        </w:rPr>
        <w:t xml:space="preserve">Пикалевского городского поселения</w:t>
      </w:r>
      <w:r>
        <w:rPr>
          <w:spacing w:val="3"/>
          <w:rFonts w:ascii="Times New Roman" w:eastAsia="Times New Roman" w:hAnsi="Times New Roman" w:cs="Times New Roman"/>
          <w:sz w:val="28"/>
          <w:color w:val="000000"/>
        </w:rPr>
        <w:tab/>
      </w:r>
      <w:r>
        <w:rPr>
          <w:spacing w:val="3"/>
          <w:rFonts w:ascii="Times New Roman" w:eastAsia="Times New Roman" w:hAnsi="Times New Roman" w:cs="Times New Roman"/>
          <w:sz w:val="28"/>
          <w:color w:val="000000"/>
        </w:rPr>
        <w:tab/>
      </w:r>
      <w:r>
        <w:rPr>
          <w:spacing w:val="3"/>
          <w:rFonts w:ascii="Times New Roman" w:eastAsia="Times New Roman" w:hAnsi="Times New Roman" w:cs="Times New Roman"/>
          <w:sz w:val="28"/>
          <w:color w:val="000000"/>
        </w:rPr>
        <w:tab/>
      </w:r>
      <w:r>
        <w:rPr>
          <w:spacing w:val="3"/>
          <w:rFonts w:ascii="Times New Roman" w:eastAsia="Times New Roman" w:hAnsi="Times New Roman" w:cs="Times New Roman"/>
          <w:sz w:val="28"/>
          <w:color w:val="000000"/>
        </w:rPr>
        <w:tab/>
      </w:r>
      <w:r>
        <w:rPr>
          <w:spacing w:val="3"/>
          <w:rFonts w:ascii="Times New Roman" w:eastAsia="Times New Roman" w:hAnsi="Times New Roman" w:cs="Times New Roman"/>
          <w:sz w:val="28"/>
          <w:color w:val="000000"/>
        </w:rPr>
        <w:t xml:space="preserve">   Л.И. Гришкина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2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2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  <w:endnote w:type="continuationSeparator" w:id="1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Calibri Light">
    <w:panose1 w:val="020f0302020204030204"/>
    <w:family w:val="swiss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footnote>
  <w:footnote w:type="continuationSeparator" w:id="1">
    <w:p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199902972">
    <w:multiLevelType w:val="hybridMultilevel"/>
    <w:tmpl w:val="6d1643b8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243535301">
    <w:multiLevelType w:val="hybridMultilevel"/>
    <w:tmpl w:val="3d5eab0a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753669980">
    <w:multiLevelType w:val="hybridMultilevel"/>
    <w:tmpl w:val="fb628284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b w:val="true"/>
        <w:rFonts w:ascii="Calibri Light" w:eastAsia="Calibri Light" w:hAnsi="Calibri Light" w:cs="Calibri Light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876088763">
    <w:multiLevelType w:val="hybridMultilevel"/>
    <w:tmpl w:val="c40cb474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991255217">
    <w:multiLevelType w:val="hybridMultilevel"/>
    <w:tmpl w:val="7f1ce8ec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471895620">
    <w:multiLevelType w:val="hybridMultilevel"/>
    <w:tmpl w:val="f4f03594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643996868">
    <w:multiLevelType w:val="hybridMultilevel"/>
    <w:tmpl w:val="9df083d2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2055763799">
    <w:multiLevelType w:val="hybridMultilevel"/>
    <w:tmpl w:val="ffa85d78"/>
    <w:lvl w:ilvl="0">
      <w:lvlJc w:val="left"/>
      <w:lvlText w:val="%1."/>
      <w:numFmt w:val="decimal"/>
      <w:start w:val="1"/>
      <w:suff w:val="tab"/>
      <w:pPr>
        <w:ind w:hanging="510" w:left="870" w:start="87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2055763799"/>
  </w:num>
  <w:num w:numId="2">
    <w:abstractNumId w:val="1471895620"/>
  </w:num>
  <w:num w:numId="3">
    <w:abstractNumId w:val="199902972"/>
  </w:num>
  <w:num w:numId="4">
    <w:abstractNumId w:val="1643996868"/>
  </w:num>
  <w:num w:numId="5">
    <w:abstractNumId w:val="876088763"/>
  </w:num>
  <w:num w:numId="6">
    <w:abstractNumId w:val="243535301"/>
  </w:num>
  <w:num w:numId="7">
    <w:abstractNumId w:val="991255217"/>
  </w:num>
  <w:num w:numId="8">
    <w:abstractNumId w:val="753669980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1"/>
    <w:footnote w:id="0"/>
    <w:pos w:val="pageBottom"/>
  </w:footnotePr>
  <w:endnotePr xmlns:w="http://schemas.openxmlformats.org/wordprocessingml/2006/main">
    <w:endnote w:id="1"/>
    <w:endnote w:id="0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fontTable" Target="fontTable.xml"/><Relationship Id="rId11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4</TotalTime>
  <Pages>1</Pages>
  <Words>247</Words>
  <Characters>1414</Characters>
  <CharactersWithSpaces>1658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Байловская</dc:creator>
</cp:coreProperties>
</file>