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2" Type="http://schemas.openxmlformats.org/officeDocument/2006/relationships/extended-properties" Target="docProps/app.xml"/><Relationship Id="rId1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440"/>
          <w:tab w:val="left" w:pos="19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12 декабря 2024 года № 32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Совета депутатов от 13 ноября 2023 года № 50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«Об арендной плате за земельные участки, находящиеся в собственности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области»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связи с принятием постановления Правительства Российской Федерации от 2 ноября 2024 года № 1483 «О внесении изменений в постановление Правительства Российской Федерации от 9 апреля 2022 г. № 629», на основании Федерального закона от 6 октября 2003 года № 131-ФЗ «Об общих принципах организации местного самоуправления в Российской Федерации», Устава </w:t>
      </w:r>
      <w:r>
        <w:rPr>
          <w:spacing w:val="-1"/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spacing w:val="-1"/>
          <w:rFonts w:ascii="Times New Roman" w:eastAsia="Times New Roman" w:hAnsi="Times New Roman" w:cs="Times New Roman"/>
          <w:sz w:val="28"/>
        </w:rPr>
        <w:t xml:space="preserve">Совет депутатов Пикалевского городского поселения </w:t>
      </w:r>
      <w:r>
        <w:rPr>
          <w:spacing w:val="20"/>
          <w:rFonts w:ascii="Times New Roman" w:eastAsia="Times New Roman" w:hAnsi="Times New Roman" w:cs="Times New Roman"/>
          <w:sz w:val="28"/>
        </w:rPr>
        <w:t xml:space="preserve">решил</w:t>
      </w:r>
      <w:r>
        <w:rPr>
          <w:spacing w:val="1"/>
          <w:rFonts w:ascii="Times New Roman" w:eastAsia="Times New Roman" w:hAnsi="Times New Roman" w:cs="Times New Roman"/>
          <w:sz w:val="28"/>
        </w:rPr>
        <w:t xml:space="preserve">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numPr>
          <w:ilvl w:val="0"/>
          <w:numId w:val="5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Внести следующие изменения в решение Совета депутатов от 13 ноября 2023 года № 50 «Об арендной плате за земельные участки, находящиеся в собственности муниципального образования Пикалевское городское поселение Бокситогорского муниципального района Ленинградской области» (с изменениями от 29 февраля 2024 года № 10, от 5 сентября 2024 года № 40) и Методику определения арендной платы за земельные участки, находящиеся в собственности муниципального образования Пикалевское городское поселение Бокситогорского муниципального района Ленинградской области (далее - Методика), дополнив Раздел 5 Методики абзацами следующего содержания: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«Продажа без проведения торгов земельного участка, находящегося в муниципальной собственности, предназначенного для ведения личного подсобного хозяйства, ведения гражданами садоводства или огородничества для собственных нужд, отдыха (рекреации), производственной деятельности, нужд промышленности и предоставленного в аренду допускается наряду со случаями, предусмотренными Земельным </w:t>
      </w:r>
      <w:hyperlink r:id="rId3">
        <w:r>
          <w:rPr>
            <w:rFonts w:ascii="Times New Roman" w:eastAsia="Times New Roman" w:hAnsi="Times New Roman" w:cs="Times New Roman"/>
            <w:sz w:val="28"/>
          </w:rPr>
          <w:t xml:space="preserve">кодексом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Российской Федерации, при условии отсутствия выявленных в рамках государственного земельного надзора, муниципального земельного контроля и неустраненных нарушениях законодательства Российской Федерации при использовании такого земельного участка, а также при наличии в установленных правилами землепользования и застройки градостроительных регламентах испрашиваемого вида разрешенного использования земельного участка применительно к территориальной зоне, в границе которой расположен земельный участок.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Наряду со случаями, предусмотренными Земельным кодексом Российской Федерации, земельный участок, находящийся в муниципальной собственности,  предоставляется без проведения торгов в собственность за плату или аренду юридическому лицу, которое в соответствии с решением высшего должностного лица субъекта Российской Федерации уполномочено на реализацию масштабного инвестиционного проекта, отвечающего критериям, установленным законом субъекта Российской Федерации,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муниципальной собственности, до заключения договора купли-продажи или аренды земельного участка.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Наряду со случаями, предусмотренными Земельным 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кодексом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Российской Федерации, земельные участки, находящиеся в муниципальной собственности, предоставляются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власти субъекта Российской Федерации.»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2. Настоящее решение вступает в силу со дня его официального опубликования.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b w:val="false"/>
          <w:spacing w:val="1"/>
          <w:rFonts w:ascii="Times New Roman" w:eastAsia="Times New Roman" w:hAnsi="Times New Roman" w:cs="Times New Roman"/>
          <w:sz w:val="28"/>
        </w:rPr>
      </w:pPr>
      <w:r>
        <w:rPr>
          <w:b w:val="false"/>
          <w:spacing w:val="-1"/>
          <w:rFonts w:ascii="Times New Roman" w:eastAsia="Times New Roman" w:hAnsi="Times New Roman" w:cs="Times New Roman"/>
          <w:sz w:val="28"/>
        </w:rPr>
        <w:t xml:space="preserve">3. </w:t>
      </w:r>
      <w:r>
        <w:rPr>
          <w:b w:val="false"/>
          <w:spacing w:val="1"/>
          <w:rFonts w:ascii="Times New Roman" w:eastAsia="Times New Roman" w:hAnsi="Times New Roman" w:cs="Times New Roman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spacing w:val="-16"/>
          <w:rFonts w:ascii="Times New Roman" w:eastAsia="Times New Roman" w:hAnsi="Times New Roman" w:cs="Times New Roman"/>
          <w:sz w:val="28"/>
        </w:rPr>
      </w:pPr>
      <w:r>
        <w:rPr>
          <w:spacing w:val="1"/>
          <w:rFonts w:ascii="Times New Roman" w:eastAsia="Times New Roman" w:hAnsi="Times New Roman" w:cs="Times New Roman"/>
          <w:sz w:val="28"/>
        </w:rPr>
        <w:t xml:space="preserve">4. </w:t>
      </w:r>
      <w:r>
        <w:rPr>
          <w:spacing w:val="2"/>
          <w:rFonts w:ascii="Times New Roman" w:eastAsia="Times New Roman" w:hAnsi="Times New Roman" w:cs="Times New Roman"/>
          <w:sz w:val="28"/>
        </w:rPr>
        <w:t xml:space="preserve">Контроль за исполнением данного решения возложить на главу администрации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  <w:r>
        <w:rPr>
          <w:spacing w:val="-3"/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6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hybridMultilevel"/>
    <w:tmpl w:val="c8a89322"/>
    <w:lvl w:ilvl="0">
      <w:lvlJc w:val="left"/>
      <w:lvlText w:val="%1."/>
      <w:numFmt w:val="decimal"/>
      <w:start w:val="2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508301994">
    <w:multiLevelType w:val="hybridMultilevel"/>
    <w:tmpl w:val="ff1ea6ce"/>
    <w:lvl w:ilvl="0">
      <w:lvlJc w:val="left"/>
      <w:lvlText w:val="%1."/>
      <w:numFmt w:val="decimal"/>
      <w:start w:val="1"/>
      <w:suff w:val="tab"/>
      <w:pPr>
        <w:ind w:hanging="990" w:left="1698" w:start="169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856967271">
    <w:multiLevelType w:val="multilevel"/>
    <w:tmpl w:val="5e44b34c"/>
    <w:lvl w:ilvl="0">
      <w:lvlJc w:val="left"/>
      <w:lvlText w:val="%1."/>
      <w:numFmt w:val="decimal"/>
      <w:start w:val="1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788" w:start="178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788" w:start="1788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48" w:start="2148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08" w:start="250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08" w:start="250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68" w:start="2868"/>
      </w:pPr>
      <w:rPr>
        <w:rFonts w:ascii="Times New Roman" w:eastAsia="Times New Roman" w:hAnsi="Times New Roman" w:cs="Times New Roman"/>
        <w:sz w:val="24"/>
      </w:rPr>
    </w:lvl>
  </w:abstractNum>
  <w:abstractNum w:abstractNumId="1900482577">
    <w:multiLevelType w:val="hybridMultilevel"/>
    <w:tmpl w:val="2fecc82e"/>
    <w:lvl w:ilvl="0">
      <w:lvlJc w:val="left"/>
      <w:lvlText w:val="%1."/>
      <w:numFmt w:val="decimal"/>
      <w:start w:val="2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2112579674">
    <w:multiLevelType w:val="hybridMultilevel"/>
    <w:tmpl w:val="fe41382"/>
    <w:lvl w:ilvl="0">
      <w:lvlJc w:val="left"/>
      <w:lvlText w:val="%1."/>
      <w:numFmt w:val="decimal"/>
      <w:start w:val="1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508301994"/>
  </w:num>
  <w:num w:numId="2">
    <w:abstractNumId w:val="55129315"/>
  </w:num>
  <w:num w:numId="3">
    <w:abstractNumId w:val="1900482577"/>
  </w:num>
  <w:num w:numId="4">
    <w:abstractNumId w:val="856967271"/>
  </w:num>
  <w:num w:numId="5">
    <w:abstractNumId w:val="2112579674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71068&amp;dst=435" TargetMode="External"/><Relationship Id="rId4" Type="http://schemas.openxmlformats.org/officeDocument/2006/relationships/hyperlink" Target="https://login.consultant.ru/link/?req=doc&amp;base=LAW&amp;n=471068&amp;dst=467" TargetMode="Externa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numbering" Target="numbering.xml"/><Relationship Id="rId10" Type="http://schemas.openxmlformats.org/officeDocument/2006/relationships/styles" Target="styles.xml"/><Relationship Id="rId11" Type="http://schemas.openxmlformats.org/officeDocument/2006/relationships/fontTable" Target="fontTable.xml"/><Relationship Id="rId1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19</TotalTime>
  <Pages>2</Pages>
  <Words>652</Words>
  <Characters>3717</Characters>
  <CharactersWithSpaces>4361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                               проект</dc:title>
  <dc:creator>kumi</dc:creator>
</cp:coreProperties>
</file>