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ettings.xml" ContentType="application/vnd.openxmlformats-officedocument.wordprocessingml.setting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Relationship Id="rId10" Type="http://schemas.openxmlformats.org/officeDocument/2006/relationships/extended-properties" Target="docProps/app.xml"/><Relationship Id="rId11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r="http://schemas.openxmlformats.org/officeDocument/2006/relationships" xmlns:v="urn:schemas-microsoft-com:vml" xmlns:o="urn:schemas-microsoft-com:office:office" xmlns:wp="http://schemas.openxmlformats.org/drawingml/2006/wordprocessingDrawing" xmlns:m="http://schemas.openxmlformats.org/officeDocument/2006/math" xmlns:w10="urn:schemas-microsoft-com:office:word" xmlns:a="http://schemas.openxmlformats.org/drawingml/2006/main">
  <w:body>
    <w:p>
      <w:pPr>
        <w:jc w:val="center"/>
        <w:textAlignment w:val="auto"/>
        <w:ind w:left="0" w:right="0" w:start="0" w:end="0"/>
        <w:spacing w:after="0" w:line="240"/>
        <w:bidi w:val="false"/>
        <w:tabs>
          <w:tab w:val="left" w:pos="1134"/>
          <w:tab w:val="left" w:pos="1276"/>
        </w:tabs>
        <w:rPr>
          <w:rFonts w:ascii="Arial" w:eastAsia="Arial" w:hAnsi="Arial" w:cs="Arial"/>
          <w:sz w:val="20"/>
        </w:rPr>
      </w:pPr>
      <w:r>
        <w:pict>
          <v:shape id="_x0000_s1025" type="#_x0000_t75" style="width:56pt;height:74pt;mso-position-horizontal:absolute;mso-position-horizontal-relative:char;mso-position-vertical:absolute;mso-position-vertical-relative:line;z-index:251658240" o:allowincell="true" filled="f" stroked="f">
            <v:imagedata r:id="rId2" cropleft="0f" croptop="0f" cropright="0f" cropbottom="0f" o:title=""/>
          </v:shape>
        </w:pict>
      </w:r>
    </w:p>
    <w:p>
      <w:pPr>
        <w:jc w:val="center"/>
        <w:textAlignment w:val="auto"/>
        <w:ind w:left="0" w:right="0" w:start="0" w:end="0"/>
        <w:spacing w:after="0" w:line="240"/>
        <w:bidi w:val="false"/>
        <w:tabs>
          <w:tab w:val="left" w:pos="1134"/>
          <w:tab w:val="left" w:pos="1276"/>
        </w:tabs>
        <w:rPr>
          <w:rFonts w:ascii="Arial" w:eastAsia="Arial" w:hAnsi="Arial" w:cs="Arial"/>
          <w:sz w:val="28"/>
        </w:rPr>
      </w:pPr>
    </w:p>
    <w:p>
      <w:pPr>
        <w:outlineLvl w:val="0"/>
        <w:jc w:val="center"/>
        <w:textAlignment w:val="auto"/>
        <w:ind w:left="0" w:right="0" w:start="0" w:end="0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Совет депутатов муниципального образования </w:t>
      </w:r>
    </w:p>
    <w:p>
      <w:pPr>
        <w:outlineLvl w:val="0"/>
        <w:jc w:val="center"/>
        <w:textAlignment w:val="auto"/>
        <w:ind w:left="0" w:right="0" w:start="0" w:end="0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Пикалевское городское поселение</w:t>
      </w:r>
    </w:p>
    <w:p>
      <w:pPr>
        <w:jc w:val="center"/>
        <w:textAlignment w:val="auto"/>
        <w:ind w:left="0" w:right="0" w:start="0" w:end="0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Бокситогорского муниципального района Ленинградской области</w:t>
      </w:r>
    </w:p>
    <w:p>
      <w:pPr>
        <w:jc w:val="left"/>
        <w:textAlignment w:val="auto"/>
        <w:ind w:left="0" w:right="0" w:start="0" w:end="0"/>
        <w:spacing w:after="0" w:line="240"/>
        <w:bidi w:val="false"/>
        <w:rPr>
          <w:b w:val="true"/>
          <w:spacing w:val="20"/>
          <w:rFonts w:ascii="Times New Roman" w:eastAsia="Times New Roman" w:hAnsi="Times New Roman" w:cs="Times New Roman"/>
          <w:sz w:val="28"/>
        </w:rPr>
      </w:pPr>
    </w:p>
    <w:p>
      <w:pPr>
        <w:jc w:val="center"/>
        <w:textAlignment w:val="auto"/>
        <w:ind w:left="0" w:right="0" w:start="0" w:end="0"/>
        <w:spacing w:after="0" w:line="240"/>
        <w:bidi w:val="false"/>
        <w:rPr>
          <w:b w:val="true"/>
          <w:spacing w:val="60"/>
          <w:rFonts w:ascii="Times New Roman" w:eastAsia="Times New Roman" w:hAnsi="Times New Roman" w:cs="Times New Roman"/>
          <w:sz w:val="34"/>
        </w:rPr>
      </w:pPr>
      <w:r>
        <w:rPr>
          <w:b w:val="true"/>
          <w:spacing w:val="60"/>
          <w:rFonts w:ascii="Times New Roman" w:eastAsia="Times New Roman" w:hAnsi="Times New Roman" w:cs="Times New Roman"/>
          <w:sz w:val="34"/>
        </w:rPr>
        <w:t xml:space="preserve">РЕШЕНИЕ</w:t>
      </w:r>
    </w:p>
    <w:p>
      <w:pPr>
        <w:jc w:val="center"/>
        <w:textAlignment w:val="auto"/>
        <w:ind w:left="0" w:right="-141" w:start="0" w:end="-141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center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от 30 января 2025 года № 6</w:t>
      </w:r>
    </w:p>
    <w:p>
      <w:pPr>
        <w:jc w:val="both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center"/>
        <w:textAlignment w:val="auto"/>
        <w:ind w:left="0" w:right="0" w:start="0" w:end="0"/>
        <w:adjustRightInd w:val="true"/>
        <w:spacing w:after="0" w:line="240"/>
        <w:bidi w:val="false"/>
        <w:rPr>
          <w:b w:val="true"/>
          <w:rFonts w:ascii="Times New Roman" w:eastAsia="Times New Roman" w:hAnsi="Times New Roman" w:cs="Times New Roman"/>
          <w:sz w:val="28"/>
        </w:rPr>
      </w:pPr>
      <w:r>
        <w:rPr>
          <w:b w:val="true"/>
          <w:rFonts w:ascii="Times New Roman" w:eastAsia="Times New Roman" w:hAnsi="Times New Roman" w:cs="Times New Roman"/>
          <w:sz w:val="28"/>
        </w:rPr>
        <w:t xml:space="preserve">О внесении изменений в решение Совета депутатов от 7 декабря 2023 года №60 «Об утверждении Плана приватизации имущества </w:t>
      </w:r>
    </w:p>
    <w:p>
      <w:pPr>
        <w:jc w:val="center"/>
        <w:textAlignment w:val="auto"/>
        <w:ind w:left="0" w:right="0" w:start="0" w:end="0"/>
        <w:adjustRightInd w:val="true"/>
        <w:spacing w:after="0" w:line="240"/>
        <w:bidi w:val="false"/>
        <w:rPr>
          <w:b w:val="true"/>
          <w:rFonts w:ascii="Times New Roman" w:eastAsia="Times New Roman" w:hAnsi="Times New Roman" w:cs="Times New Roman"/>
          <w:sz w:val="28"/>
        </w:rPr>
      </w:pPr>
      <w:r>
        <w:rPr>
          <w:b w:val="true"/>
          <w:rFonts w:ascii="Times New Roman" w:eastAsia="Times New Roman" w:hAnsi="Times New Roman" w:cs="Times New Roman"/>
          <w:sz w:val="28"/>
        </w:rPr>
        <w:t xml:space="preserve">муниципального образования Пикалевское городское поселение</w:t>
      </w:r>
    </w:p>
    <w:p>
      <w:pPr>
        <w:jc w:val="center"/>
        <w:textAlignment w:val="auto"/>
        <w:ind w:left="0" w:right="0" w:start="0" w:end="0"/>
        <w:adjustRightInd w:val="true"/>
        <w:spacing w:after="0" w:line="240"/>
        <w:bidi w:val="false"/>
        <w:rPr>
          <w:b w:val="true"/>
          <w:rFonts w:ascii="Times New Roman" w:eastAsia="Times New Roman" w:hAnsi="Times New Roman" w:cs="Times New Roman"/>
          <w:sz w:val="28"/>
        </w:rPr>
      </w:pPr>
      <w:r>
        <w:rPr>
          <w:b w:val="true"/>
          <w:rFonts w:ascii="Times New Roman" w:eastAsia="Times New Roman" w:hAnsi="Times New Roman" w:cs="Times New Roman"/>
          <w:sz w:val="28"/>
        </w:rPr>
        <w:t xml:space="preserve">Бокситогорского муниципального района Ленинградской области</w:t>
      </w:r>
    </w:p>
    <w:p>
      <w:pPr>
        <w:jc w:val="center"/>
        <w:textAlignment w:val="auto"/>
        <w:ind w:left="0" w:right="0" w:start="0" w:end="0"/>
        <w:adjustRightInd w:val="true"/>
        <w:spacing w:after="0" w:line="240"/>
        <w:bidi w:val="false"/>
        <w:rPr>
          <w:b w:val="true"/>
          <w:rFonts w:ascii="Times New Roman" w:eastAsia="Times New Roman" w:hAnsi="Times New Roman" w:cs="Times New Roman"/>
          <w:sz w:val="28"/>
        </w:rPr>
      </w:pPr>
      <w:r>
        <w:rPr>
          <w:b w:val="true"/>
          <w:rFonts w:ascii="Times New Roman" w:eastAsia="Times New Roman" w:hAnsi="Times New Roman" w:cs="Times New Roman"/>
          <w:sz w:val="28"/>
        </w:rPr>
        <w:t xml:space="preserve">на 2024 год»</w:t>
      </w:r>
    </w:p>
    <w:p>
      <w:pPr>
        <w:jc w:val="center"/>
        <w:textAlignment w:val="auto"/>
        <w:ind w:left="426" w:right="0" w:start="426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center"/>
        <w:textAlignment w:val="auto"/>
        <w:ind w:left="426" w:right="0" w:start="426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firstLine="710" w:left="0" w:right="-2" w:start="0" w:end="-2"/>
        <w:adjustRightInd w:val="true"/>
        <w:spacing w:after="0" w:line="240"/>
        <w:bidi w:val="false"/>
        <w:tabs>
          <w:tab w:val="left" w:pos="709"/>
        </w:tabs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 соответствии с постановлением Правительства Российской Федерации от 26 декабря 2005 № 806 «Об утверждении Правил разработки прогнозных планов (программ) приватизации государственного и муниципального имущества и внесении изменений в Правила подготовки и принятия решений об условиях приватизации федерального имущества», на основании Федерального закона от 21 декабря 2001 года № 178-ФЗ «О приватизации государственного и муниципального имущества», Совет депутатов Пикалевского городского поселения решил:</w:t>
      </w:r>
    </w:p>
    <w:p>
      <w:pPr>
        <w:jc w:val="both"/>
        <w:textAlignment w:val="auto"/>
        <w:ind w:firstLine="567" w:left="0" w:right="-2" w:start="0" w:end="-2"/>
        <w:adjustRightInd w:val="true"/>
        <w:spacing w:after="0" w:line="240"/>
        <w:bidi w:val="false"/>
        <w:numPr>
          <w:ilvl w:val="0"/>
          <w:numId w:val="1"/>
        </w:num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Внести следующие изменения в решение Совета депутатов от 7 декабря 2023 года №60 «Об утверждении Плана приватизации имущества муниципального образования Пикалевское городское поселение Бокситогорского муниципального района Ленинградской области на 2024 год» (с изменениями, внесенными решением от 5 сентября 2024 года №39),</w:t>
      </w:r>
      <w:r>
        <w:rPr>
          <w:rFonts w:ascii="Calibri" w:eastAsia="Calibri" w:hAnsi="Calibri" w:cs="Calibri"/>
          <w:sz w:val="22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изложив приложение в следующей редакции:</w:t>
      </w:r>
    </w:p>
    <w:tbl>
      <w:tblPr>
        <w:tblLayout w:type="fixed"/>
        <w:tblInd w:w="-5" w:type="dxa"/>
        <w:tblW w:w="10065" w:type="dxa"/>
        <w:tblCellMar>
          <w:bottom w:w="0" w:type="dxa"/>
          <w:left w:w="108" w:type="dxa"/>
          <w:right w:w="108" w:type="dxa"/>
          <w:top w:w="0" w:type="dxa"/>
        </w:tblCellMar>
        <w:tblBorders>
          <w:left w:sz="4" w:space="0" w:val="single"/>
          <w:right w:sz="4" w:space="0" w:val="single"/>
          <w:top w:sz="4" w:space="0" w:val="single"/>
          <w:bottom w:sz="4" w:space="0" w:val="single"/>
          <w:insideV w:sz="4" w:space="0" w:val="single"/>
          <w:insideH w:sz="4" w:space="0" w:val="single"/>
        </w:tblBorders>
      </w:tblPr>
      <w:tblGrid>
        <w:gridCol w:w="424"/>
        <w:gridCol w:w="2549"/>
        <w:gridCol w:w="1845"/>
        <w:gridCol w:w="1276"/>
        <w:gridCol w:w="854"/>
        <w:gridCol w:w="1700"/>
        <w:gridCol w:w="1417"/>
      </w:tblGrid>
      <w:tr>
        <w:trPr>
          <w:cantSplit w:val="true"/>
          <w:trHeight w:val="336" w:hRule="atLeast"/>
        </w:trPr>
        <w:tc>
          <w:tcPr>
            <w:tcW w:type="dxa" w:w="10065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top"/>
            <w:textDirection w:val="lrTb"/>
            <w:gridSpan w:val="7"/>
          </w:tcPr>
          <w:p>
            <w:pPr>
              <w:jc w:val="center"/>
              <w:textAlignment w:val="auto"/>
              <w:ind w:left="-112" w:right="-104" w:start="-112" w:end="-104"/>
              <w:adjustRightInd w:val="true"/>
              <w:spacing w:after="0" w:line="240"/>
              <w:bidi w:val="false"/>
              <w:tabs>
                <w:tab w:val="left" w:pos="709"/>
              </w:tabs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Недвижимое имущество</w:t>
            </w:r>
          </w:p>
        </w:tc>
      </w:tr>
      <w:tr>
        <w:trPr>
          <w:cantSplit w:val="true"/>
          <w:trHeight w:val="315" w:hRule="atLeast"/>
        </w:trPr>
        <w:tc>
          <w:tcPr>
            <w:tcW w:type="dxa" w:w="424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-105" w:right="-92" w:start="-105" w:end="-92"/>
              <w:adjustRightInd w:val="true"/>
              <w:spacing w:after="0" w:line="240"/>
              <w:bidi w:val="false"/>
              <w:tabs>
                <w:tab w:val="left" w:pos="709"/>
              </w:tabs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№ п/п</w:t>
            </w:r>
          </w:p>
        </w:tc>
        <w:tc>
          <w:tcPr>
            <w:tcW w:type="dxa" w:w="2549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-152" w:right="-149" w:start="-152" w:end="-149"/>
              <w:adjustRightInd w:val="true"/>
              <w:spacing w:after="0" w:line="240"/>
              <w:bidi w:val="false"/>
              <w:tabs>
                <w:tab w:val="left" w:pos="709"/>
              </w:tabs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Наименование </w:t>
            </w:r>
          </w:p>
          <w:p>
            <w:pPr>
              <w:jc w:val="center"/>
              <w:textAlignment w:val="auto"/>
              <w:ind w:left="-167" w:right="-193" w:start="-167" w:end="-193"/>
              <w:adjustRightInd w:val="true"/>
              <w:spacing w:after="0" w:line="240"/>
              <w:bidi w:val="false"/>
              <w:tabs>
                <w:tab w:val="left" w:pos="709"/>
              </w:tabs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объекта, общая </w:t>
            </w:r>
          </w:p>
          <w:p>
            <w:pPr>
              <w:jc w:val="center"/>
              <w:textAlignment w:val="auto"/>
              <w:ind w:left="-167" w:right="-193" w:start="-167" w:end="-193"/>
              <w:adjustRightInd w:val="true"/>
              <w:spacing w:after="0" w:line="240"/>
              <w:bidi w:val="false"/>
              <w:tabs>
                <w:tab w:val="left" w:pos="709"/>
              </w:tabs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площадь (кв. м.), кадастровый номер</w:t>
            </w:r>
          </w:p>
        </w:tc>
        <w:tc>
          <w:tcPr>
            <w:tcW w:type="dxa" w:w="1845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-157" w:right="-108" w:start="-157" w:end="-108"/>
              <w:adjustRightInd w:val="true"/>
              <w:spacing w:after="0" w:line="240"/>
              <w:bidi w:val="false"/>
              <w:tabs>
                <w:tab w:val="left" w:pos="709"/>
              </w:tabs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Местонахождение</w:t>
            </w:r>
          </w:p>
          <w:p>
            <w:pPr>
              <w:jc w:val="center"/>
              <w:textAlignment w:val="auto"/>
              <w:ind w:left="-157" w:right="-108" w:start="-157" w:end="-108"/>
              <w:adjustRightInd w:val="true"/>
              <w:spacing w:after="0" w:line="240"/>
              <w:bidi w:val="false"/>
              <w:tabs>
                <w:tab w:val="left" w:pos="709"/>
              </w:tabs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объекта</w:t>
            </w:r>
          </w:p>
        </w:tc>
        <w:tc>
          <w:tcPr>
            <w:tcW w:type="dxa" w:w="1276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-101" w:right="-61" w:start="-101" w:end="-61"/>
              <w:adjustRightInd w:val="true"/>
              <w:spacing w:after="0" w:line="240"/>
              <w:bidi w:val="false"/>
              <w:tabs>
                <w:tab w:val="left" w:pos="709"/>
              </w:tabs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Назначение имущества</w:t>
            </w:r>
          </w:p>
        </w:tc>
        <w:tc>
          <w:tcPr>
            <w:tcW w:type="dxa" w:w="854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-96" w:right="-105" w:start="-96" w:end="-105"/>
              <w:adjustRightInd w:val="true"/>
              <w:spacing w:after="0" w:line="240"/>
              <w:bidi w:val="false"/>
              <w:tabs>
                <w:tab w:val="left" w:pos="709"/>
              </w:tabs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Код группы по ОКВЭД</w:t>
            </w:r>
          </w:p>
        </w:tc>
        <w:tc>
          <w:tcPr>
            <w:tcW w:type="dxa" w:w="1700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160" w:line="240"/>
              <w:bidi w:val="false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Прогноз объемов поступления в бюджет, руб.</w:t>
            </w:r>
          </w:p>
        </w:tc>
        <w:tc>
          <w:tcPr>
            <w:tcW w:type="dxa" w:w="1417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-112" w:right="-104" w:start="-112" w:end="-104"/>
              <w:adjustRightInd w:val="true"/>
              <w:spacing w:after="0" w:line="240"/>
              <w:bidi w:val="false"/>
              <w:tabs>
                <w:tab w:val="left" w:pos="709"/>
              </w:tabs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Способ приватизации</w:t>
            </w:r>
          </w:p>
        </w:tc>
      </w:tr>
      <w:tr>
        <w:trPr>
          <w:trHeight w:val="1694" w:hRule="atLeast"/>
        </w:trPr>
        <w:tc>
          <w:tcPr>
            <w:tcW w:type="dxa" w:w="424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-352" w:start="0" w:end="-352"/>
              <w:adjustRightInd w:val="true"/>
              <w:spacing w:after="0" w:line="240"/>
              <w:bidi w:val="false"/>
              <w:tabs>
                <w:tab w:val="left" w:pos="321"/>
              </w:tabs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1.</w:t>
            </w:r>
          </w:p>
        </w:tc>
        <w:tc>
          <w:tcPr>
            <w:tcW w:type="dxa" w:w="2549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-113" w:right="0" w:start="-113" w:end="0"/>
              <w:adjustRightInd w:val="true"/>
              <w:spacing w:after="0" w:line="240"/>
              <w:bidi w:val="false"/>
              <w:tabs>
                <w:tab w:val="left" w:pos="709"/>
              </w:tabs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Отдельно стоящее здание-склад у д/с №4, общей площадью 102,4 кв.м кадастровый номер 47:19:0101029:182</w:t>
            </w:r>
          </w:p>
          <w:p>
            <w:pPr>
              <w:jc w:val="left"/>
              <w:textAlignment w:val="auto"/>
              <w:ind w:left="-113" w:right="0" w:start="-113" w:end="0"/>
              <w:adjustRightInd w:val="true"/>
              <w:spacing w:after="0" w:line="240"/>
              <w:bidi w:val="false"/>
              <w:tabs>
                <w:tab w:val="left" w:pos="709"/>
              </w:tabs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с земельным участком общей площадью 381 кв.м.,</w:t>
            </w:r>
            <w:r>
              <w:rPr>
                <w:rFonts w:ascii="Calibri" w:eastAsia="Calibri" w:hAnsi="Calibri" w:cs="Calibri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кадастровый номер 47:19:0101029:569</w:t>
            </w:r>
          </w:p>
        </w:tc>
        <w:tc>
          <w:tcPr>
            <w:tcW w:type="dxa" w:w="1845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-102" w:right="0" w:start="-102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г.Пикалево. ул.Школьная,</w:t>
            </w:r>
          </w:p>
          <w:p>
            <w:pPr>
              <w:jc w:val="left"/>
              <w:textAlignment w:val="auto"/>
              <w:ind w:left="-102" w:right="0" w:start="-102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д.67</w:t>
            </w:r>
          </w:p>
          <w:p>
            <w:pPr>
              <w:jc w:val="left"/>
              <w:textAlignment w:val="auto"/>
              <w:ind w:left="-102" w:right="0" w:start="-102" w:end="0"/>
              <w:adjustRightInd w:val="true"/>
              <w:spacing w:after="0" w:line="240"/>
              <w:bidi w:val="false"/>
              <w:tabs>
                <w:tab w:val="left" w:pos="709"/>
              </w:tabs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type="dxa" w:w="1276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-111" w:right="0" w:start="-111" w:end="0"/>
              <w:adjustRightInd w:val="true"/>
              <w:spacing w:after="0" w:line="240"/>
              <w:bidi w:val="false"/>
              <w:tabs>
                <w:tab w:val="left" w:pos="709"/>
              </w:tabs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Нежилое здание</w:t>
            </w:r>
          </w:p>
        </w:tc>
        <w:tc>
          <w:tcPr>
            <w:tcW w:type="dxa" w:w="854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709"/>
              </w:tabs>
              <w:rPr>
                <w:rFonts w:ascii="Times New Roman" w:eastAsia="Times New Roman" w:hAnsi="Times New Roman" w:cs="Times New Roman"/>
                <w:sz w:val="28"/>
              </w:rPr>
            </w:pPr>
          </w:p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709"/>
              </w:tabs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68</w:t>
            </w:r>
          </w:p>
        </w:tc>
        <w:tc>
          <w:tcPr>
            <w:tcW w:type="dxa" w:w="1700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709"/>
              </w:tabs>
              <w:rPr>
                <w:rFonts w:ascii="Times New Roman" w:eastAsia="Times New Roman" w:hAnsi="Times New Roman" w:cs="Times New Roman"/>
                <w:sz w:val="28"/>
              </w:rPr>
            </w:pPr>
          </w:p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709"/>
              </w:tabs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585 000,00</w:t>
            </w:r>
          </w:p>
        </w:tc>
        <w:tc>
          <w:tcPr>
            <w:tcW w:type="dxa" w:w="1417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709"/>
              </w:tabs>
              <w:rPr>
                <w:rFonts w:ascii="Times New Roman" w:eastAsia="Times New Roman" w:hAnsi="Times New Roman" w:cs="Times New Roman"/>
                <w:sz w:val="28"/>
              </w:rPr>
            </w:pPr>
          </w:p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709"/>
              </w:tabs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Аукцион</w:t>
            </w:r>
          </w:p>
        </w:tc>
      </w:tr>
      <w:tr>
        <w:trPr>
          <w:trHeight w:val="1245" w:hRule="atLeast"/>
        </w:trPr>
        <w:tc>
          <w:tcPr>
            <w:tcW w:type="dxa" w:w="424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-352" w:start="0" w:end="-352"/>
              <w:adjustRightInd w:val="true"/>
              <w:spacing w:after="0" w:line="240"/>
              <w:bidi w:val="false"/>
              <w:tabs>
                <w:tab w:val="left" w:pos="321"/>
              </w:tabs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2.</w:t>
            </w:r>
          </w:p>
        </w:tc>
        <w:tc>
          <w:tcPr>
            <w:tcW w:type="dxa" w:w="2549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-113" w:right="0" w:start="-113" w:end="0"/>
              <w:adjustRightInd w:val="true"/>
              <w:spacing w:after="0" w:line="240"/>
              <w:bidi w:val="false"/>
              <w:tabs>
                <w:tab w:val="left" w:pos="709"/>
              </w:tabs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Нежилое помещение в многоквартирном доме, общей площадью 62,7 кв.м., 1 этаж, кадастровый номер 47:19:0000000:2666</w:t>
            </w:r>
          </w:p>
        </w:tc>
        <w:tc>
          <w:tcPr>
            <w:tcW w:type="dxa" w:w="1845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-102" w:right="0" w:start="-102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г. Пикалево, </w:t>
            </w:r>
          </w:p>
          <w:p>
            <w:pPr>
              <w:jc w:val="left"/>
              <w:textAlignment w:val="auto"/>
              <w:ind w:left="-102" w:right="0" w:start="-102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6 микрорайон, д.33, пом.77</w:t>
            </w:r>
          </w:p>
        </w:tc>
        <w:tc>
          <w:tcPr>
            <w:tcW w:type="dxa" w:w="1276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-111" w:right="0" w:start="-111" w:end="0"/>
              <w:adjustRightInd w:val="true"/>
              <w:spacing w:after="0" w:line="240"/>
              <w:bidi w:val="false"/>
              <w:tabs>
                <w:tab w:val="left" w:pos="709"/>
              </w:tabs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Нежилое помещение</w:t>
            </w:r>
          </w:p>
        </w:tc>
        <w:tc>
          <w:tcPr>
            <w:tcW w:type="dxa" w:w="854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709"/>
              </w:tabs>
              <w:rPr>
                <w:rFonts w:ascii="Times New Roman" w:eastAsia="Times New Roman" w:hAnsi="Times New Roman" w:cs="Times New Roman"/>
                <w:sz w:val="28"/>
              </w:rPr>
            </w:pPr>
          </w:p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709"/>
              </w:tabs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68</w:t>
            </w:r>
          </w:p>
        </w:tc>
        <w:tc>
          <w:tcPr>
            <w:tcW w:type="dxa" w:w="1700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709"/>
              </w:tabs>
              <w:rPr>
                <w:rFonts w:ascii="Times New Roman" w:eastAsia="Times New Roman" w:hAnsi="Times New Roman" w:cs="Times New Roman"/>
                <w:sz w:val="28"/>
              </w:rPr>
            </w:pPr>
          </w:p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709"/>
              </w:tabs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2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084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818,54</w:t>
            </w:r>
          </w:p>
        </w:tc>
        <w:tc>
          <w:tcPr>
            <w:tcW w:type="dxa" w:w="1417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709"/>
              </w:tabs>
              <w:rPr>
                <w:rFonts w:ascii="Times New Roman" w:eastAsia="Times New Roman" w:hAnsi="Times New Roman" w:cs="Times New Roman"/>
                <w:sz w:val="28"/>
              </w:rPr>
            </w:pPr>
          </w:p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709"/>
              </w:tabs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Аукцион</w:t>
            </w:r>
          </w:p>
        </w:tc>
      </w:tr>
      <w:tr>
        <w:trPr>
          <w:trHeight w:val="2258" w:hRule="atLeast"/>
        </w:trPr>
        <w:tc>
          <w:tcPr>
            <w:tcW w:type="dxa" w:w="424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-352" w:start="0" w:end="-352"/>
              <w:adjustRightInd w:val="true"/>
              <w:spacing w:after="0" w:line="240"/>
              <w:bidi w:val="false"/>
              <w:tabs>
                <w:tab w:val="left" w:pos="321"/>
              </w:tabs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3.</w:t>
            </w:r>
          </w:p>
        </w:tc>
        <w:tc>
          <w:tcPr>
            <w:tcW w:type="dxa" w:w="2549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-113" w:right="0" w:start="-113" w:end="0"/>
              <w:adjustRightInd w:val="true"/>
              <w:spacing w:after="0" w:line="240"/>
              <w:bidi w:val="false"/>
              <w:tabs>
                <w:tab w:val="left" w:pos="709"/>
              </w:tabs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Здание городского рынка, кадастровый номер 47:19:0000000:5810, общей площадью 421,6 кв.м., </w:t>
            </w:r>
          </w:p>
          <w:p>
            <w:pPr>
              <w:jc w:val="left"/>
              <w:textAlignment w:val="auto"/>
              <w:ind w:left="-113" w:right="0" w:start="-113" w:end="0"/>
              <w:adjustRightInd w:val="true"/>
              <w:spacing w:after="0" w:line="240"/>
              <w:bidi w:val="false"/>
              <w:tabs>
                <w:tab w:val="left" w:pos="709"/>
              </w:tabs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Здание приемо-заготовительного пункта, кадастровый номер 47:10:0000000:12309, общей площадью 177,7 кв.м., </w:t>
            </w:r>
          </w:p>
          <w:p>
            <w:pPr>
              <w:jc w:val="left"/>
              <w:textAlignment w:val="auto"/>
              <w:ind w:left="-113" w:right="0" w:start="-113" w:end="0"/>
              <w:adjustRightInd w:val="true"/>
              <w:spacing w:after="0" w:line="240"/>
              <w:bidi w:val="false"/>
              <w:tabs>
                <w:tab w:val="left" w:pos="709"/>
              </w:tabs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с земельным участком общей площадью 3550 кв.м., кадастровый номер 47:19:0101017:31</w:t>
            </w:r>
          </w:p>
          <w:p>
            <w:pPr>
              <w:jc w:val="left"/>
              <w:textAlignment w:val="auto"/>
              <w:ind w:left="-113" w:right="0" w:start="-113" w:end="0"/>
              <w:adjustRightInd w:val="true"/>
              <w:spacing w:after="0" w:line="240"/>
              <w:bidi w:val="false"/>
              <w:tabs>
                <w:tab w:val="left" w:pos="709"/>
              </w:tabs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и движимым имуществом (прилавки, контейнеры, примерочные кабины, холодильные витрины, вентиляционная система, электрооборудование)</w:t>
            </w:r>
          </w:p>
        </w:tc>
        <w:tc>
          <w:tcPr>
            <w:tcW w:type="dxa" w:w="1845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-102" w:right="0" w:start="-102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г. Пикалево, ул.Строительная,д.3</w:t>
            </w:r>
          </w:p>
        </w:tc>
        <w:tc>
          <w:tcPr>
            <w:tcW w:type="dxa" w:w="1276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-111" w:right="0" w:start="-111" w:end="0"/>
              <w:adjustRightInd w:val="true"/>
              <w:spacing w:after="0" w:line="240"/>
              <w:bidi w:val="false"/>
              <w:tabs>
                <w:tab w:val="left" w:pos="709"/>
              </w:tabs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Нежилые здания</w:t>
            </w:r>
          </w:p>
        </w:tc>
        <w:tc>
          <w:tcPr>
            <w:tcW w:type="dxa" w:w="854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709"/>
              </w:tabs>
              <w:rPr>
                <w:rFonts w:ascii="Times New Roman" w:eastAsia="Times New Roman" w:hAnsi="Times New Roman" w:cs="Times New Roman"/>
                <w:sz w:val="28"/>
              </w:rPr>
            </w:pPr>
          </w:p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709"/>
              </w:tabs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68</w:t>
            </w:r>
          </w:p>
        </w:tc>
        <w:tc>
          <w:tcPr>
            <w:tcW w:type="dxa" w:w="1700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709"/>
              </w:tabs>
              <w:rPr>
                <w:rFonts w:ascii="Times New Roman" w:eastAsia="Times New Roman" w:hAnsi="Times New Roman" w:cs="Times New Roman"/>
                <w:sz w:val="28"/>
              </w:rPr>
            </w:pPr>
          </w:p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709"/>
              </w:tabs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19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660 000,00</w:t>
            </w:r>
          </w:p>
        </w:tc>
        <w:tc>
          <w:tcPr>
            <w:tcW w:type="dxa" w:w="1417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709"/>
              </w:tabs>
              <w:rPr>
                <w:rFonts w:ascii="Times New Roman" w:eastAsia="Times New Roman" w:hAnsi="Times New Roman" w:cs="Times New Roman"/>
                <w:sz w:val="28"/>
              </w:rPr>
            </w:pPr>
          </w:p>
          <w:p>
            <w:pPr>
              <w:jc w:val="center"/>
              <w:textAlignment w:val="auto"/>
              <w:ind w:left="-112" w:right="0" w:start="-112" w:end="0"/>
              <w:adjustRightInd w:val="true"/>
              <w:spacing w:after="0" w:line="240"/>
              <w:bidi w:val="false"/>
              <w:tabs>
                <w:tab w:val="left" w:pos="709"/>
              </w:tabs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Аукцион</w:t>
            </w:r>
          </w:p>
        </w:tc>
      </w:tr>
      <w:tr>
        <w:trPr>
          <w:trHeight w:val="302" w:hRule="atLeast"/>
        </w:trPr>
        <w:tc>
          <w:tcPr>
            <w:tcW w:type="dxa" w:w="10065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top"/>
            <w:textDirection w:val="lrTb"/>
            <w:gridSpan w:val="7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709"/>
              </w:tabs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Движимое имущество</w:t>
            </w:r>
          </w:p>
        </w:tc>
      </w:tr>
      <w:tr>
        <w:trPr>
          <w:trHeight w:val="1695" w:hRule="atLeast"/>
        </w:trPr>
        <w:tc>
          <w:tcPr>
            <w:tcW w:type="dxa" w:w="424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360" w:right="-352" w:start="360" w:end="-352"/>
              <w:adjustRightInd w:val="true"/>
              <w:spacing w:after="0" w:line="240"/>
              <w:bidi w:val="false"/>
              <w:tabs>
                <w:tab w:val="left" w:pos="321"/>
              </w:tabs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4</w:t>
            </w:r>
          </w:p>
        </w:tc>
        <w:tc>
          <w:tcPr>
            <w:tcW w:type="dxa" w:w="2549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-113" w:right="0" w:start="-113" w:end="0"/>
              <w:adjustRightInd w:val="true"/>
              <w:spacing w:after="0" w:line="240"/>
              <w:bidi w:val="false"/>
              <w:tabs>
                <w:tab w:val="left" w:pos="709"/>
              </w:tabs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Контейнеры металлические для сбора и транспортировки мусора К-10 в количестве 7 штук </w:t>
            </w:r>
          </w:p>
        </w:tc>
        <w:tc>
          <w:tcPr>
            <w:tcW w:type="dxa" w:w="1845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-111" w:right="0" w:start="-111" w:end="0"/>
              <w:adjustRightInd w:val="true"/>
              <w:spacing w:after="0" w:line="240"/>
              <w:bidi w:val="false"/>
              <w:tabs>
                <w:tab w:val="left" w:pos="709"/>
              </w:tabs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г.Пикалево, Ленинградское шоссе, д. 76</w:t>
            </w:r>
          </w:p>
        </w:tc>
        <w:tc>
          <w:tcPr>
            <w:tcW w:type="dxa" w:w="1276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709"/>
              </w:tabs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Для сбора и транспортировки мусора</w:t>
            </w:r>
          </w:p>
        </w:tc>
        <w:tc>
          <w:tcPr>
            <w:tcW w:type="dxa" w:w="854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709"/>
              </w:tabs>
              <w:rPr>
                <w:rFonts w:ascii="Times New Roman" w:eastAsia="Times New Roman" w:hAnsi="Times New Roman" w:cs="Times New Roman"/>
                <w:sz w:val="28"/>
              </w:rPr>
            </w:pPr>
          </w:p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709"/>
              </w:tabs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45</w:t>
            </w:r>
          </w:p>
        </w:tc>
        <w:tc>
          <w:tcPr>
            <w:tcW w:type="dxa" w:w="1700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709"/>
              </w:tabs>
              <w:rPr>
                <w:rFonts w:ascii="Times New Roman" w:eastAsia="Times New Roman" w:hAnsi="Times New Roman" w:cs="Times New Roman"/>
                <w:sz w:val="28"/>
              </w:rPr>
            </w:pPr>
          </w:p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709"/>
              </w:tabs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80 080,00</w:t>
            </w:r>
          </w:p>
        </w:tc>
        <w:tc>
          <w:tcPr>
            <w:tcW w:type="dxa" w:w="1417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709"/>
              </w:tabs>
              <w:rPr>
                <w:rFonts w:ascii="Times New Roman" w:eastAsia="Times New Roman" w:hAnsi="Times New Roman" w:cs="Times New Roman"/>
                <w:sz w:val="28"/>
              </w:rPr>
            </w:pPr>
          </w:p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709"/>
              </w:tabs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Аукцион</w:t>
            </w:r>
          </w:p>
        </w:tc>
      </w:tr>
    </w:tbl>
    <w:p>
      <w:pPr>
        <w:jc w:val="both"/>
        <w:textAlignment w:val="auto"/>
        <w:ind w:firstLine="709" w:left="0" w:right="-2" w:start="0" w:end="-2"/>
        <w:adjustRightInd w:val="true"/>
        <w:spacing w:after="0" w:line="240"/>
        <w:bidi w:val="false"/>
        <w:tabs>
          <w:tab w:val="left" w:pos="142"/>
        </w:tabs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2. Настоящее решение подлежит опубликованию в газете «Рабочее слово» и размещению на официальном сайте Пикалевского городского поселения.</w:t>
      </w:r>
    </w:p>
    <w:p>
      <w:pPr>
        <w:jc w:val="both"/>
        <w:textAlignment w:val="auto"/>
        <w:ind w:firstLine="709" w:left="0" w:right="-2" w:start="0" w:end="-2"/>
        <w:adjustRightInd w:val="true"/>
        <w:spacing w:after="0" w:line="240"/>
        <w:bidi w:val="false"/>
        <w:tabs>
          <w:tab w:val="left" w:pos="142"/>
        </w:tabs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3. Решение вступает в силу после официального опубликования.</w:t>
      </w:r>
    </w:p>
    <w:p>
      <w:pPr>
        <w:jc w:val="both"/>
        <w:textAlignment w:val="auto"/>
        <w:ind w:firstLine="709" w:left="0" w:right="-2" w:start="0" w:end="-2"/>
        <w:adjustRightInd w:val="true"/>
        <w:spacing w:after="0" w:line="240"/>
        <w:bidi w:val="false"/>
        <w:tabs>
          <w:tab w:val="left" w:pos="142"/>
        </w:tabs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4. Контроль за исполнением данного решения возложить на главу администрации Пикалевского городского поселения.</w:t>
      </w:r>
    </w:p>
    <w:p>
      <w:pPr>
        <w:jc w:val="both"/>
        <w:textAlignment w:val="auto"/>
        <w:ind w:left="0" w:right="-2" w:start="0" w:end="-2"/>
        <w:adjustRightInd w:val="true"/>
        <w:spacing w:after="0" w:line="240"/>
        <w:bidi w:val="false"/>
        <w:tabs>
          <w:tab w:val="left" w:pos="142"/>
        </w:tabs>
        <w:rPr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left="0" w:right="-352" w:start="0" w:end="-352"/>
        <w:adjustRightInd w:val="true"/>
        <w:spacing w:after="0" w:line="240"/>
        <w:bidi w:val="false"/>
        <w:tabs>
          <w:tab w:val="left" w:pos="142"/>
        </w:tabs>
        <w:rPr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left="0" w:right="-352" w:start="0" w:end="-352"/>
        <w:adjustRightInd w:val="true"/>
        <w:spacing w:after="0" w:line="240"/>
        <w:bidi w:val="false"/>
        <w:tabs>
          <w:tab w:val="left" w:pos="142"/>
        </w:tabs>
        <w:rPr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left="0" w:right="-352" w:start="0" w:end="-352"/>
        <w:adjustRightInd w:val="true"/>
        <w:spacing w:after="0" w:line="240"/>
        <w:bidi w:val="false"/>
        <w:tabs>
          <w:tab w:val="left" w:pos="142"/>
        </w:tabs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Глава Пикалевского городского поселения                                           Л.И. Гришкина</w:t>
      </w:r>
    </w:p>
    <w:p>
      <w:pPr>
        <w:jc w:val="both"/>
        <w:textAlignment w:val="auto"/>
        <w:ind w:left="0" w:right="-352" w:start="0" w:end="-352"/>
        <w:adjustRightInd w:val="true"/>
        <w:spacing w:after="0" w:line="240"/>
        <w:bidi w:val="false"/>
        <w:tabs>
          <w:tab w:val="left" w:pos="142"/>
        </w:tabs>
        <w:rPr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left="0" w:right="-352" w:start="0" w:end="-352"/>
        <w:adjustRightInd w:val="true"/>
        <w:spacing w:after="0" w:line="240"/>
        <w:bidi w:val="false"/>
        <w:tabs>
          <w:tab w:val="left" w:pos="142"/>
        </w:tabs>
        <w:rPr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left="0" w:right="-352" w:start="0" w:end="-352"/>
        <w:adjustRightInd w:val="true"/>
        <w:spacing w:after="0" w:line="240"/>
        <w:bidi w:val="false"/>
        <w:tabs>
          <w:tab w:val="left" w:pos="142"/>
        </w:tabs>
        <w:rPr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left="0" w:right="-352" w:start="0" w:end="-352"/>
        <w:adjustRightInd w:val="true"/>
        <w:spacing w:after="0" w:line="240"/>
        <w:bidi w:val="false"/>
        <w:tabs>
          <w:tab w:val="left" w:pos="142"/>
        </w:tabs>
        <w:rPr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left="0" w:right="-352" w:start="0" w:end="-352"/>
        <w:adjustRightInd w:val="true"/>
        <w:spacing w:after="0" w:line="240"/>
        <w:bidi w:val="false"/>
        <w:tabs>
          <w:tab w:val="left" w:pos="142"/>
        </w:tabs>
        <w:rPr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left="0" w:right="-352" w:start="0" w:end="-352"/>
        <w:adjustRightInd w:val="true"/>
        <w:spacing w:after="0" w:line="240"/>
        <w:bidi w:val="false"/>
        <w:tabs>
          <w:tab w:val="left" w:pos="142"/>
        </w:tabs>
        <w:rPr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left="0" w:right="-352" w:start="0" w:end="-352"/>
        <w:adjustRightInd w:val="true"/>
        <w:spacing w:after="0" w:line="240"/>
        <w:bidi w:val="false"/>
        <w:tabs>
          <w:tab w:val="left" w:pos="142"/>
        </w:tabs>
        <w:rPr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left="0" w:right="-352" w:start="0" w:end="-352"/>
        <w:adjustRightInd w:val="true"/>
        <w:spacing w:after="0" w:line="240"/>
        <w:bidi w:val="false"/>
        <w:tabs>
          <w:tab w:val="left" w:pos="142"/>
        </w:tabs>
        <w:rPr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left="0" w:right="-352" w:start="0" w:end="-352"/>
        <w:adjustRightInd w:val="true"/>
        <w:spacing w:after="0" w:line="240"/>
        <w:bidi w:val="false"/>
        <w:tabs>
          <w:tab w:val="left" w:pos="142"/>
        </w:tabs>
        <w:rPr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left="0" w:right="-352" w:start="0" w:end="-352"/>
        <w:adjustRightInd w:val="true"/>
        <w:spacing w:after="0" w:line="240"/>
        <w:bidi w:val="false"/>
        <w:tabs>
          <w:tab w:val="left" w:pos="142"/>
        </w:tabs>
        <w:rPr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left="0" w:right="-352" w:start="0" w:end="-352"/>
        <w:adjustRightInd w:val="true"/>
        <w:spacing w:after="0" w:line="240"/>
        <w:bidi w:val="false"/>
        <w:tabs>
          <w:tab w:val="left" w:pos="142"/>
        </w:tabs>
        <w:rPr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left="0" w:right="-352" w:start="0" w:end="-352"/>
        <w:adjustRightInd w:val="true"/>
        <w:spacing w:after="0" w:line="240"/>
        <w:bidi w:val="false"/>
        <w:tabs>
          <w:tab w:val="left" w:pos="142"/>
        </w:tabs>
        <w:rPr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left="0" w:right="-352" w:start="0" w:end="-352"/>
        <w:adjustRightInd w:val="true"/>
        <w:spacing w:after="0" w:line="240"/>
        <w:bidi w:val="false"/>
        <w:tabs>
          <w:tab w:val="left" w:pos="142"/>
        </w:tabs>
        <w:rPr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left="0" w:right="-352" w:start="0" w:end="-352"/>
        <w:adjustRightInd w:val="true"/>
        <w:spacing w:after="0" w:line="240"/>
        <w:bidi w:val="false"/>
        <w:tabs>
          <w:tab w:val="left" w:pos="142"/>
        </w:tabs>
        <w:rPr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left="0" w:right="-352" w:start="0" w:end="-352"/>
        <w:adjustRightInd w:val="true"/>
        <w:spacing w:after="0" w:line="240"/>
        <w:bidi w:val="false"/>
        <w:tabs>
          <w:tab w:val="left" w:pos="142"/>
        </w:tabs>
        <w:rPr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left="0" w:right="-352" w:start="0" w:end="-352"/>
        <w:adjustRightInd w:val="true"/>
        <w:spacing w:after="0" w:line="240"/>
        <w:bidi w:val="false"/>
        <w:tabs>
          <w:tab w:val="left" w:pos="142"/>
        </w:tabs>
        <w:rPr>
          <w:rFonts w:ascii="Calibri" w:eastAsia="Calibri" w:hAnsi="Calibri" w:cs="Calibri"/>
          <w:sz w:val="22"/>
        </w:rPr>
      </w:pPr>
    </w:p>
    <w:sectPr>
      <w:cols w:num="1" w:space="708" w:equalWidth="true"/>
      <w:footnotePr>
        <w:pos w:val="pageBottom"/>
      </w:footnotePr>
      <w:lnNumType w:distance="0"/>
      <w:pgSz w:w="11906" w:h="16838"/>
      <w:pgMar w:left="1418" w:right="567" w:top="1134" w:bottom="1134" w:gutter="0" w:header="709" w:footer="709"/>
      <w:titlePg/>
      <w:headerReference w:type="default" r:id="rId4"/>
    </w:sectPr>
  </w:body>
</w:document>
</file>

<file path=word/endnotes.xml><?xml version="1.0" encoding="utf-8"?>
<w:endnotes xmlns:wpc="http://schemas.microsoft.com/office/word/2008/6/28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08/9/16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09/2/wordml" xmlns:wpg="http://schemas.microsoft.com/office/word/2008/6/28/wordprocessingGroup" xmlns:wpi="http://schemas.microsoft.com/office/word/2008/6/28/wordprocessingInk" xmlns:wne="http://schemas.microsoft.com/office/word/2006/wordml" xmlns:wps="http://schemas.microsoft.com/office/word/2008/6/28/wordprocessingShape">
  <w:endnote w:type="separator" w:id="0">
    <w:p>
      <w:pPr>
        <w:jc w:val="left"/>
        <w:textAlignment w:val="auto"/>
        <w:ind w:left="0" w:right="0" w:start="0" w:end="0"/>
        <w:adjustRightInd w:val="true"/>
        <w:spacing w:after="0" w:line="240"/>
        <w:bidi w:val="false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separator/>
      </w:r>
    </w:p>
  </w:endnote>
  <w:endnote w:type="continuationSeparator" w:id="1">
    <w:p>
      <w:pPr>
        <w:jc w:val="left"/>
        <w:textAlignment w:val="auto"/>
        <w:ind w:left="0" w:right="0" w:start="0" w:end="0"/>
        <w:adjustRightInd w:val="true"/>
        <w:spacing w:after="0" w:line="240"/>
        <w:bidi w:val="false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separator/>
      </w:r>
    </w:p>
  </w:endnote>
</w:endnotes>
</file>

<file path=word/fontTable.xml><?xml version="1.0" encoding="utf-8"?>
<w:fonts xmlns:w="http://schemas.openxmlformats.org/wordprocessingml/2006/main">
  <w:font w:name="Times New Roman">
    <w:altName w:val="Times New Roman"/>
    <w:panose1 w:val="02020603050405020304"/>
    <w:family w:val="roman"/>
    <w:charset w:val="CC"/>
    <w:pitch w:val="variable"/>
  </w:font>
  <w:font w:name="Arial">
    <w:altName w:val="Arial"/>
    <w:panose1 w:val="020b0604020202020204"/>
    <w:family w:val="swiss"/>
    <w:charset w:val="CC"/>
    <w:pitch w:val="variable"/>
  </w:font>
  <w:font w:name="Cambria Math">
    <w:altName w:val="Palatino Linotype"/>
    <w:panose1 w:val="02040503050406030204"/>
    <w:family w:val="roman"/>
    <w:charset w:val="CC"/>
    <w:pitch w:val="variable"/>
  </w:font>
  <w:font w:name="Calibri">
    <w:altName w:val="Century Gothic"/>
    <w:panose1 w:val="020f0502020204030204"/>
    <w:family w:val="swiss"/>
    <w:charset w:val="CC"/>
    <w:pitch w:val="variable"/>
  </w:font>
  <w:font w:name="Segoe UI">
    <w:panose1 w:val="00000000000000000000"/>
    <w:family w:val="swiss"/>
    <w:charset w:val="CC"/>
    <w:pitch w:val="variable"/>
  </w:font>
  <w:font w:name="Times New Roman">
    <w:altName w:val="Times New Roman"/>
    <w:panose1 w:val="02020603050405020304"/>
    <w:family w:val="roman"/>
    <w:charset w:val="CC"/>
    <w:pitch w:val="variable"/>
  </w:font>
  <w:font w:name="Times New Roman">
    <w:altName w:val="Times New Roman"/>
    <w:panose1 w:val="02020603050405020304"/>
    <w:family w:val="roman"/>
    <w:charset w:val="CC"/>
    <w:pitch w:val="variable"/>
  </w:font>
  <w:font w:name="Calibri Light">
    <w:altName w:val="Arial"/>
    <w:panose1 w:val="020f0302020204030204"/>
    <w:family w:val="swiss"/>
    <w:charset w:val="CC"/>
    <w:pitch w:val="variable"/>
  </w:font>
  <w:font w:name="Times New Roman">
    <w:altName w:val="Times New Roman"/>
    <w:panose1 w:val="02020603050405020304"/>
    <w:family w:val="roman"/>
    <w:charset w:val="CC"/>
    <w:pitch w:val="variable"/>
  </w:font>
  <w:font w:name="Times New Roman">
    <w:altName w:val="Times New Roman"/>
    <w:panose1 w:val="02020603050405020304"/>
    <w:family w:val="roman"/>
    <w:charset w:val="CC"/>
    <w:pitch w:val="variable"/>
  </w:font>
  <w:font w:name="Times New Roman">
    <w:altName w:val="Times New Roman"/>
    <w:panose1 w:val="02020603050405020304"/>
    <w:family w:val="roman"/>
    <w:charset w:val="CC"/>
    <w:pitch w:val="variable"/>
  </w:font>
  <w:font w:name="Calibri">
    <w:altName w:val="Century Gothic"/>
    <w:panose1 w:val="020f0502020204030204"/>
    <w:family w:val="swiss"/>
    <w:charset w:val="CC"/>
    <w:pitch w:val="variable"/>
  </w:font>
  <w:font w:name="Times New Roman">
    <w:altName w:val="Times New Roman"/>
    <w:panose1 w:val="02020603050405020304"/>
    <w:family w:val="roman"/>
    <w:charset w:val="CC"/>
    <w:pitch w:val="variable"/>
  </w:font>
  <w:font w:name="Times New Roman">
    <w:altName w:val="Times New Roman"/>
    <w:family w:val="roman"/>
    <w:charset w:val="00"/>
    <w:pitch w:val="variable"/>
  </w:font>
  <w:font w:name="Times New Roman CE">
    <w:altName w:val="Times New Roman"/>
    <w:family w:val="roman"/>
    <w:charset w:val="EE"/>
    <w:pitch w:val="variable"/>
  </w:font>
  <w:font w:name="Times New Roman Greek">
    <w:altName w:val="Times New Roman"/>
    <w:family w:val="roman"/>
    <w:charset w:val="A1"/>
    <w:pitch w:val="variable"/>
  </w:font>
  <w:font w:name="Times New Roman Tur">
    <w:altName w:val="Times New Roman"/>
    <w:family w:val="roman"/>
    <w:charset w:val="A2"/>
    <w:pitch w:val="variable"/>
  </w:font>
  <w:font w:name="Times New Roman (Hebrew)">
    <w:altName w:val="Times New Roman"/>
    <w:family w:val="roman"/>
    <w:charset w:val="B1"/>
    <w:pitch w:val="variable"/>
  </w:font>
  <w:font w:name="Times New Roman (Arabic)">
    <w:altName w:val="Times New Roman"/>
    <w:family w:val="roman"/>
    <w:charset w:val="B2"/>
    <w:pitch w:val="variable"/>
  </w:font>
  <w:font w:name="Times New Roman Baltic">
    <w:altName w:val="Times New Roman"/>
    <w:family w:val="roman"/>
    <w:charset w:val="BA"/>
    <w:pitch w:val="variable"/>
  </w:font>
  <w:font w:name="Times New Roman (Vietnamese)">
    <w:altName w:val="Times New Roman"/>
    <w:family w:val="roman"/>
    <w:charset w:val="A3"/>
    <w:pitch w:val="variable"/>
  </w:font>
  <w:font w:name="Arial">
    <w:altName w:val="Arial"/>
    <w:family w:val="swiss"/>
    <w:charset w:val="00"/>
    <w:pitch w:val="variable"/>
  </w:font>
  <w:font w:name="Arial CE">
    <w:altName w:val="Arial"/>
    <w:family w:val="swiss"/>
    <w:charset w:val="EE"/>
    <w:pitch w:val="variable"/>
  </w:font>
  <w:font w:name="Arial Greek">
    <w:altName w:val="Arial"/>
    <w:family w:val="swiss"/>
    <w:charset w:val="A1"/>
    <w:pitch w:val="variable"/>
  </w:font>
  <w:font w:name="Arial Tur">
    <w:altName w:val="Arial"/>
    <w:family w:val="swiss"/>
    <w:charset w:val="A2"/>
    <w:pitch w:val="variable"/>
  </w:font>
  <w:font w:name="Arial (Hebrew)">
    <w:altName w:val="Arial"/>
    <w:family w:val="swiss"/>
    <w:charset w:val="B1"/>
    <w:pitch w:val="variable"/>
  </w:font>
  <w:font w:name="Arial (Arabic)">
    <w:altName w:val="Arial"/>
    <w:family w:val="swiss"/>
    <w:charset w:val="B2"/>
    <w:pitch w:val="variable"/>
  </w:font>
  <w:font w:name="Arial Baltic">
    <w:altName w:val="Arial"/>
    <w:family w:val="swiss"/>
    <w:charset w:val="BA"/>
    <w:pitch w:val="variable"/>
  </w:font>
  <w:font w:name="Arial (Vietnamese)">
    <w:altName w:val="Arial"/>
    <w:family w:val="swiss"/>
    <w:charset w:val="A3"/>
    <w:pitch w:val="variable"/>
  </w:font>
  <w:font w:name="Cambria Math">
    <w:altName w:val="Palatino Linotype"/>
    <w:family w:val="roman"/>
    <w:charset w:val="00"/>
    <w:pitch w:val="variable"/>
  </w:font>
  <w:font w:name="Cambria Math CE">
    <w:altName w:val="Palatino Linotype"/>
    <w:family w:val="roman"/>
    <w:charset w:val="EE"/>
    <w:pitch w:val="variable"/>
  </w:font>
  <w:font w:name="Cambria Math Greek">
    <w:altName w:val="Palatino Linotype"/>
    <w:family w:val="roman"/>
    <w:charset w:val="A1"/>
    <w:pitch w:val="variable"/>
  </w:font>
  <w:font w:name="Cambria Math Tur">
    <w:altName w:val="Palatino Linotype"/>
    <w:family w:val="roman"/>
    <w:charset w:val="A2"/>
    <w:pitch w:val="variable"/>
  </w:font>
  <w:font w:name="Cambria Math Baltic">
    <w:altName w:val="Palatino Linotype"/>
    <w:family w:val="roman"/>
    <w:charset w:val="BA"/>
    <w:pitch w:val="variable"/>
  </w:font>
  <w:font w:name="Cambria Math (Vietnamese)">
    <w:altName w:val="Palatino Linotype"/>
    <w:family w:val="roman"/>
    <w:charset w:val="A3"/>
    <w:pitch w:val="variable"/>
  </w:font>
  <w:font w:name="Calibri">
    <w:altName w:val="Century Gothic"/>
    <w:family w:val="swiss"/>
    <w:charset w:val="00"/>
    <w:pitch w:val="variable"/>
  </w:font>
  <w:font w:name="Calibri CE">
    <w:altName w:val="Century Gothic"/>
    <w:family w:val="swiss"/>
    <w:charset w:val="EE"/>
    <w:pitch w:val="variable"/>
  </w:font>
  <w:font w:name="Calibri Greek">
    <w:altName w:val="Century Gothic"/>
    <w:family w:val="swiss"/>
    <w:charset w:val="A1"/>
    <w:pitch w:val="variable"/>
  </w:font>
  <w:font w:name="Calibri Tur">
    <w:altName w:val="Century Gothic"/>
    <w:family w:val="swiss"/>
    <w:charset w:val="A2"/>
    <w:pitch w:val="variable"/>
  </w:font>
  <w:font w:name="Calibri (Hebrew)">
    <w:altName w:val="Century Gothic"/>
    <w:family w:val="swiss"/>
    <w:charset w:val="B1"/>
    <w:pitch w:val="variable"/>
  </w:font>
  <w:font w:name="Calibri (Arabic)">
    <w:altName w:val="Century Gothic"/>
    <w:family w:val="swiss"/>
    <w:charset w:val="B2"/>
    <w:pitch w:val="variable"/>
  </w:font>
  <w:font w:name="Calibri Baltic">
    <w:altName w:val="Century Gothic"/>
    <w:family w:val="swiss"/>
    <w:charset w:val="BA"/>
    <w:pitch w:val="variable"/>
  </w:font>
  <w:font w:name="Calibri (Vietnamese)">
    <w:altName w:val="Century Gothic"/>
    <w:family w:val="swiss"/>
    <w:charset w:val="A3"/>
    <w:pitch w:val="variable"/>
  </w:font>
  <w:font w:name="Segoe UI">
    <w:family w:val="swiss"/>
    <w:charset w:val="00"/>
    <w:pitch w:val="variable"/>
  </w:font>
  <w:font w:name="Segoe UI CE">
    <w:family w:val="swiss"/>
    <w:charset w:val="EE"/>
    <w:pitch w:val="variable"/>
  </w:font>
  <w:font w:name="Segoe UI Greek">
    <w:family w:val="swiss"/>
    <w:charset w:val="A1"/>
    <w:pitch w:val="variable"/>
  </w:font>
  <w:font w:name="Segoe UI Tur">
    <w:family w:val="swiss"/>
    <w:charset w:val="A2"/>
    <w:pitch w:val="variable"/>
  </w:font>
  <w:font w:name="Segoe UI (Hebrew)">
    <w:family w:val="swiss"/>
    <w:charset w:val="B1"/>
    <w:pitch w:val="variable"/>
  </w:font>
  <w:font w:name="Segoe UI (Arabic)">
    <w:family w:val="swiss"/>
    <w:charset w:val="B2"/>
    <w:pitch w:val="variable"/>
  </w:font>
  <w:font w:name="Segoe UI Baltic">
    <w:family w:val="swiss"/>
    <w:charset w:val="BA"/>
    <w:pitch w:val="variable"/>
  </w:font>
  <w:font w:name="Segoe UI (Vietnamese)">
    <w:family w:val="swiss"/>
    <w:charset w:val="A3"/>
    <w:pitch w:val="variable"/>
  </w:font>
  <w:font w:name="Times New Roman">
    <w:altName w:val="Times New Roman"/>
    <w:family w:val="roman"/>
    <w:charset w:val="00"/>
    <w:pitch w:val="variable"/>
  </w:font>
  <w:font w:name="Times New Roman CE">
    <w:altName w:val="Times New Roman"/>
    <w:family w:val="roman"/>
    <w:charset w:val="EE"/>
    <w:pitch w:val="variable"/>
  </w:font>
  <w:font w:name="Times New Roman Greek">
    <w:altName w:val="Times New Roman"/>
    <w:family w:val="roman"/>
    <w:charset w:val="A1"/>
    <w:pitch w:val="variable"/>
  </w:font>
  <w:font w:name="Times New Roman Tur">
    <w:altName w:val="Times New Roman"/>
    <w:family w:val="roman"/>
    <w:charset w:val="A2"/>
    <w:pitch w:val="variable"/>
  </w:font>
  <w:font w:name="Times New Roman (Hebrew)">
    <w:altName w:val="Times New Roman"/>
    <w:family w:val="roman"/>
    <w:charset w:val="B1"/>
    <w:pitch w:val="variable"/>
  </w:font>
  <w:font w:name="Times New Roman (Arabic)">
    <w:altName w:val="Times New Roman"/>
    <w:family w:val="roman"/>
    <w:charset w:val="B2"/>
    <w:pitch w:val="variable"/>
  </w:font>
  <w:font w:name="Times New Roman Baltic">
    <w:altName w:val="Times New Roman"/>
    <w:family w:val="roman"/>
    <w:charset w:val="BA"/>
    <w:pitch w:val="variable"/>
  </w:font>
  <w:font w:name="Times New Roman (Vietnamese)">
    <w:altName w:val="Times New Roman"/>
    <w:family w:val="roman"/>
    <w:charset w:val="A3"/>
    <w:pitch w:val="variable"/>
  </w:font>
  <w:font w:name="Times New Roman">
    <w:altName w:val="Times New Roman"/>
    <w:family w:val="roman"/>
    <w:charset w:val="00"/>
    <w:pitch w:val="variable"/>
  </w:font>
  <w:font w:name="Times New Roman CE">
    <w:altName w:val="Times New Roman"/>
    <w:family w:val="roman"/>
    <w:charset w:val="EE"/>
    <w:pitch w:val="variable"/>
  </w:font>
  <w:font w:name="Times New Roman Greek">
    <w:altName w:val="Times New Roman"/>
    <w:family w:val="roman"/>
    <w:charset w:val="A1"/>
    <w:pitch w:val="variable"/>
  </w:font>
  <w:font w:name="Times New Roman Tur">
    <w:altName w:val="Times New Roman"/>
    <w:family w:val="roman"/>
    <w:charset w:val="A2"/>
    <w:pitch w:val="variable"/>
  </w:font>
  <w:font w:name="Times New Roman (Hebrew)">
    <w:altName w:val="Times New Roman"/>
    <w:family w:val="roman"/>
    <w:charset w:val="B1"/>
    <w:pitch w:val="variable"/>
  </w:font>
  <w:font w:name="Times New Roman (Arabic)">
    <w:altName w:val="Times New Roman"/>
    <w:family w:val="roman"/>
    <w:charset w:val="B2"/>
    <w:pitch w:val="variable"/>
  </w:font>
  <w:font w:name="Times New Roman Baltic">
    <w:altName w:val="Times New Roman"/>
    <w:family w:val="roman"/>
    <w:charset w:val="BA"/>
    <w:pitch w:val="variable"/>
  </w:font>
  <w:font w:name="Times New Roman (Vietnamese)">
    <w:altName w:val="Times New Roman"/>
    <w:family w:val="roman"/>
    <w:charset w:val="A3"/>
    <w:pitch w:val="variable"/>
  </w:font>
  <w:font w:name="Calibri Light">
    <w:altName w:val="Arial"/>
    <w:family w:val="swiss"/>
    <w:charset w:val="00"/>
    <w:pitch w:val="variable"/>
  </w:font>
  <w:font w:name="Calibri Light CE">
    <w:altName w:val="Arial"/>
    <w:family w:val="swiss"/>
    <w:charset w:val="EE"/>
    <w:pitch w:val="variable"/>
  </w:font>
  <w:font w:name="Calibri Light Greek">
    <w:altName w:val="Arial"/>
    <w:family w:val="swiss"/>
    <w:charset w:val="A1"/>
    <w:pitch w:val="variable"/>
  </w:font>
  <w:font w:name="Calibri Light Tur">
    <w:altName w:val="Arial"/>
    <w:family w:val="swiss"/>
    <w:charset w:val="A2"/>
    <w:pitch w:val="variable"/>
  </w:font>
  <w:font w:name="Calibri Light (Hebrew)">
    <w:altName w:val="Arial"/>
    <w:family w:val="swiss"/>
    <w:charset w:val="B1"/>
    <w:pitch w:val="variable"/>
  </w:font>
  <w:font w:name="Calibri Light (Arabic)">
    <w:altName w:val="Arial"/>
    <w:family w:val="swiss"/>
    <w:charset w:val="B2"/>
    <w:pitch w:val="variable"/>
  </w:font>
  <w:font w:name="Calibri Light Baltic">
    <w:altName w:val="Arial"/>
    <w:family w:val="swiss"/>
    <w:charset w:val="BA"/>
    <w:pitch w:val="variable"/>
  </w:font>
  <w:font w:name="Calibri Light (Vietnamese)">
    <w:altName w:val="Arial"/>
    <w:family w:val="swiss"/>
    <w:charset w:val="A3"/>
    <w:pitch w:val="variable"/>
  </w:font>
  <w:font w:name="Times New Roman">
    <w:altName w:val="Times New Roman"/>
    <w:family w:val="roman"/>
    <w:charset w:val="00"/>
    <w:pitch w:val="variable"/>
  </w:font>
  <w:font w:name="Times New Roman CE">
    <w:altName w:val="Times New Roman"/>
    <w:family w:val="roman"/>
    <w:charset w:val="EE"/>
    <w:pitch w:val="variable"/>
  </w:font>
  <w:font w:name="Times New Roman Greek">
    <w:altName w:val="Times New Roman"/>
    <w:family w:val="roman"/>
    <w:charset w:val="A1"/>
    <w:pitch w:val="variable"/>
  </w:font>
  <w:font w:name="Times New Roman Tur">
    <w:altName w:val="Times New Roman"/>
    <w:family w:val="roman"/>
    <w:charset w:val="A2"/>
    <w:pitch w:val="variable"/>
  </w:font>
  <w:font w:name="Times New Roman (Hebrew)">
    <w:altName w:val="Times New Roman"/>
    <w:family w:val="roman"/>
    <w:charset w:val="B1"/>
    <w:pitch w:val="variable"/>
  </w:font>
  <w:font w:name="Times New Roman (Arabic)">
    <w:altName w:val="Times New Roman"/>
    <w:family w:val="roman"/>
    <w:charset w:val="B2"/>
    <w:pitch w:val="variable"/>
  </w:font>
  <w:font w:name="Times New Roman Baltic">
    <w:altName w:val="Times New Roman"/>
    <w:family w:val="roman"/>
    <w:charset w:val="BA"/>
    <w:pitch w:val="variable"/>
  </w:font>
  <w:font w:name="Times New Roman (Vietnamese)">
    <w:altName w:val="Times New Roman"/>
    <w:family w:val="roman"/>
    <w:charset w:val="A3"/>
    <w:pitch w:val="variable"/>
  </w:font>
  <w:font w:name="Times New Roman">
    <w:altName w:val="Times New Roman"/>
    <w:family w:val="roman"/>
    <w:charset w:val="00"/>
    <w:pitch w:val="variable"/>
  </w:font>
  <w:font w:name="Times New Roman CE">
    <w:altName w:val="Times New Roman"/>
    <w:family w:val="roman"/>
    <w:charset w:val="EE"/>
    <w:pitch w:val="variable"/>
  </w:font>
  <w:font w:name="Times New Roman Greek">
    <w:altName w:val="Times New Roman"/>
    <w:family w:val="roman"/>
    <w:charset w:val="A1"/>
    <w:pitch w:val="variable"/>
  </w:font>
  <w:font w:name="Times New Roman Tur">
    <w:altName w:val="Times New Roman"/>
    <w:family w:val="roman"/>
    <w:charset w:val="A2"/>
    <w:pitch w:val="variable"/>
  </w:font>
  <w:font w:name="Times New Roman (Hebrew)">
    <w:altName w:val="Times New Roman"/>
    <w:family w:val="roman"/>
    <w:charset w:val="B1"/>
    <w:pitch w:val="variable"/>
  </w:font>
  <w:font w:name="Times New Roman (Arabic)">
    <w:altName w:val="Times New Roman"/>
    <w:family w:val="roman"/>
    <w:charset w:val="B2"/>
    <w:pitch w:val="variable"/>
  </w:font>
  <w:font w:name="Times New Roman Baltic">
    <w:altName w:val="Times New Roman"/>
    <w:family w:val="roman"/>
    <w:charset w:val="BA"/>
    <w:pitch w:val="variable"/>
  </w:font>
  <w:font w:name="Times New Roman (Vietnamese)">
    <w:altName w:val="Times New Roman"/>
    <w:family w:val="roman"/>
    <w:charset w:val="A3"/>
    <w:pitch w:val="variable"/>
  </w:font>
  <w:font w:name="Times New Roman">
    <w:altName w:val="Times New Roman"/>
    <w:family w:val="roman"/>
    <w:charset w:val="00"/>
    <w:pitch w:val="variable"/>
  </w:font>
  <w:font w:name="Times New Roman CE">
    <w:altName w:val="Times New Roman"/>
    <w:family w:val="roman"/>
    <w:charset w:val="EE"/>
    <w:pitch w:val="variable"/>
  </w:font>
  <w:font w:name="Times New Roman Greek">
    <w:altName w:val="Times New Roman"/>
    <w:family w:val="roman"/>
    <w:charset w:val="A1"/>
    <w:pitch w:val="variable"/>
  </w:font>
  <w:font w:name="Times New Roman Tur">
    <w:altName w:val="Times New Roman"/>
    <w:family w:val="roman"/>
    <w:charset w:val="A2"/>
    <w:pitch w:val="variable"/>
  </w:font>
  <w:font w:name="Times New Roman (Hebrew)">
    <w:altName w:val="Times New Roman"/>
    <w:family w:val="roman"/>
    <w:charset w:val="B1"/>
    <w:pitch w:val="variable"/>
  </w:font>
  <w:font w:name="Times New Roman (Arabic)">
    <w:altName w:val="Times New Roman"/>
    <w:family w:val="roman"/>
    <w:charset w:val="B2"/>
    <w:pitch w:val="variable"/>
  </w:font>
  <w:font w:name="Times New Roman Baltic">
    <w:altName w:val="Times New Roman"/>
    <w:family w:val="roman"/>
    <w:charset w:val="BA"/>
    <w:pitch w:val="variable"/>
  </w:font>
  <w:font w:name="Times New Roman (Vietnamese)">
    <w:altName w:val="Times New Roman"/>
    <w:family w:val="roman"/>
    <w:charset w:val="A3"/>
    <w:pitch w:val="variable"/>
  </w:font>
  <w:font w:name="Calibri">
    <w:altName w:val="Century Gothic"/>
    <w:family w:val="swiss"/>
    <w:charset w:val="00"/>
    <w:pitch w:val="variable"/>
  </w:font>
  <w:font w:name="Calibri CE">
    <w:altName w:val="Century Gothic"/>
    <w:family w:val="swiss"/>
    <w:charset w:val="EE"/>
    <w:pitch w:val="variable"/>
  </w:font>
  <w:font w:name="Calibri Greek">
    <w:altName w:val="Century Gothic"/>
    <w:family w:val="swiss"/>
    <w:charset w:val="A1"/>
    <w:pitch w:val="variable"/>
  </w:font>
  <w:font w:name="Calibri Tur">
    <w:altName w:val="Century Gothic"/>
    <w:family w:val="swiss"/>
    <w:charset w:val="A2"/>
    <w:pitch w:val="variable"/>
  </w:font>
  <w:font w:name="Calibri (Hebrew)">
    <w:altName w:val="Century Gothic"/>
    <w:family w:val="swiss"/>
    <w:charset w:val="B1"/>
    <w:pitch w:val="variable"/>
  </w:font>
  <w:font w:name="Calibri (Arabic)">
    <w:altName w:val="Century Gothic"/>
    <w:family w:val="swiss"/>
    <w:charset w:val="B2"/>
    <w:pitch w:val="variable"/>
  </w:font>
  <w:font w:name="Calibri Baltic">
    <w:altName w:val="Century Gothic"/>
    <w:family w:val="swiss"/>
    <w:charset w:val="BA"/>
    <w:pitch w:val="variable"/>
  </w:font>
  <w:font w:name="Calibri (Vietnamese)">
    <w:altName w:val="Century Gothic"/>
    <w:family w:val="swiss"/>
    <w:charset w:val="A3"/>
    <w:pitch w:val="variable"/>
  </w:font>
  <w:font w:name="Times New Roman">
    <w:altName w:val="Times New Roman"/>
    <w:family w:val="roman"/>
    <w:charset w:val="00"/>
    <w:pitch w:val="variable"/>
  </w:font>
  <w:font w:name="Times New Roman CE">
    <w:altName w:val="Times New Roman"/>
    <w:family w:val="roman"/>
    <w:charset w:val="EE"/>
    <w:pitch w:val="variable"/>
  </w:font>
  <w:font w:name="Times New Roman Greek">
    <w:altName w:val="Times New Roman"/>
    <w:family w:val="roman"/>
    <w:charset w:val="A1"/>
    <w:pitch w:val="variable"/>
  </w:font>
  <w:font w:name="Times New Roman Tur">
    <w:altName w:val="Times New Roman"/>
    <w:family w:val="roman"/>
    <w:charset w:val="A2"/>
    <w:pitch w:val="variable"/>
  </w:font>
  <w:font w:name="Times New Roman (Hebrew)">
    <w:altName w:val="Times New Roman"/>
    <w:family w:val="roman"/>
    <w:charset w:val="B1"/>
    <w:pitch w:val="variable"/>
  </w:font>
  <w:font w:name="Times New Roman (Arabic)">
    <w:altName w:val="Times New Roman"/>
    <w:family w:val="roman"/>
    <w:charset w:val="B2"/>
    <w:pitch w:val="variable"/>
  </w:font>
  <w:font w:name="Times New Roman Baltic">
    <w:altName w:val="Times New Roman"/>
    <w:family w:val="roman"/>
    <w:charset w:val="BA"/>
    <w:pitch w:val="variable"/>
  </w:font>
  <w:font w:name="Times New Roman (Vietnamese)">
    <w:altName w:val="Times New Roman"/>
    <w:family w:val="roman"/>
    <w:charset w:val="A3"/>
    <w:pitch w:val="variable"/>
  </w:font>
</w:fonts>
</file>

<file path=word/footnotes.xml><?xml version="1.0" encoding="utf-8"?>
<w:footnotes xmlns:wpc="http://schemas.microsoft.com/office/word/2008/6/28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08/9/16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09/2/wordml" xmlns:wpg="http://schemas.microsoft.com/office/word/2008/6/28/wordprocessingGroup" xmlns:wpi="http://schemas.microsoft.com/office/word/2008/6/28/wordprocessingInk" xmlns:wne="http://schemas.microsoft.com/office/word/2006/wordml" xmlns:wps="http://schemas.microsoft.com/office/word/2008/6/28/wordprocessingShape">
  <w:footnote w:type="separator" w:id="0">
    <w:p>
      <w:pPr>
        <w:jc w:val="left"/>
        <w:textAlignment w:val="auto"/>
        <w:ind w:left="0" w:right="0" w:start="0" w:end="0"/>
        <w:adjustRightInd w:val="true"/>
        <w:spacing w:after="0" w:line="240"/>
        <w:bidi w:val="false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separator/>
      </w:r>
    </w:p>
  </w:footnote>
  <w:footnote w:type="continuationSeparator" w:id="1">
    <w:p>
      <w:pPr>
        <w:jc w:val="left"/>
        <w:textAlignment w:val="auto"/>
        <w:ind w:left="0" w:right="0" w:start="0" w:end="0"/>
        <w:adjustRightInd w:val="true"/>
        <w:spacing w:after="0" w:line="240"/>
        <w:bidi w:val="false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  <w:textAlignment w:val="auto"/>
      <w:ind w:left="0" w:right="0" w:start="0" w:end="0"/>
      <w:adjustRightInd w:val="true"/>
      <w:spacing w:after="0" w:line="240"/>
      <w:bidi w:val="false"/>
      <w:tabs>
        <w:tab w:val="center" w:pos="4677"/>
        <w:tab w:val="right" w:pos="9355"/>
      </w:tabs>
      <w:rPr>
        <w:rFonts w:ascii="Calibri" w:eastAsia="Calibri" w:hAnsi="Calibri" w:cs="Calibri"/>
        <w:sz w:val="22"/>
      </w:rPr>
    </w:pPr>
    <w:fldSimple w:instr="PAGE   \* MERGEFORMAT">
      <w:r>
        <w:rPr>
          <w:rFonts w:ascii="Calibri" w:eastAsia="Calibri" w:hAnsi="Calibri" w:cs="Calibri"/>
          <w:sz w:val="22"/>
        </w:rPr>
        <w:t xml:space="preserve">2</w:t>
      </w:r>
    </w:fldSimple>
  </w:p>
  <w:p>
    <w:pPr>
      <w:jc w:val="left"/>
      <w:textAlignment w:val="auto"/>
      <w:ind w:left="0" w:right="0" w:start="0" w:end="0"/>
      <w:adjustRightInd w:val="true"/>
      <w:spacing w:after="0" w:line="240"/>
      <w:bidi w:val="false"/>
      <w:tabs>
        <w:tab w:val="center" w:pos="4677"/>
        <w:tab w:val="right" w:pos="9355"/>
      </w:tabs>
      <w:rPr>
        <w:rFonts w:ascii="Calibri" w:eastAsia="Calibri" w:hAnsi="Calibri" w:cs="Calibri"/>
        <w:sz w:val="22"/>
      </w:rPr>
    </w:pPr>
  </w:p>
</w:hdr>
</file>

<file path=word/numbering.xml><?xml version="1.0" encoding="utf-8"?>
<w:numbering xmlns:w="http://schemas.openxmlformats.org/wordprocessingml/2006/main" xmlns:r="http://schemas.openxmlformats.org/officeDocument/2006/relationships" xmlns:v="urn:schemas-microsoft-com:vml" xmlns:o="urn:schemas-microsoft-com:office:office" xmlns:wp="http://schemas.openxmlformats.org/drawingml/2006/wordprocessingDrawing" xmlns:m="http://schemas.openxmlformats.org/officeDocument/2006/math" xmlns:w10="urn:schemas-microsoft-com:office:word">
  <w:abstractNum w:abstractNumId="55129315">
    <w:multiLevelType w:val="multilevel"/>
    <w:tmpl w:val="aab2f99a"/>
    <w:lvl w:ilvl="0">
      <w:lvlJc w:val="left"/>
      <w:lvlText w:val="%1."/>
      <w:numFmt w:val="decimal"/>
      <w:start w:val="1"/>
      <w:suff w:val="tab"/>
      <w:pPr>
        <w:ind w:hanging="360" w:left="1110" w:start="1110"/>
      </w:pPr>
      <w:rPr>
        <w:rFonts w:ascii="Times New Roman" w:eastAsia="Times New Roman" w:hAnsi="Times New Roman" w:cs="Times New Roman"/>
        <w:sz w:val="24"/>
      </w:rPr>
    </w:lvl>
    <w:lvl w:ilvl="1">
      <w:lvlJc w:val="left"/>
      <w:lvlText w:val="%1.%2"/>
      <w:numFmt w:val="decimal"/>
      <w:start w:val="1"/>
      <w:suff w:val="tab"/>
      <w:pPr>
        <w:ind w:hanging="375" w:left="1125" w:start="1125"/>
      </w:pPr>
      <w:rPr>
        <w:rFonts w:ascii="Times New Roman" w:eastAsia="Times New Roman" w:hAnsi="Times New Roman" w:cs="Times New Roman"/>
        <w:sz w:val="24"/>
      </w:rPr>
    </w:lvl>
    <w:lvl w:ilvl="2">
      <w:lvlJc w:val="left"/>
      <w:lvlText w:val="%1.%2.%3"/>
      <w:numFmt w:val="decimal"/>
      <w:start w:val="1"/>
      <w:suff w:val="tab"/>
      <w:pPr>
        <w:ind w:hanging="720" w:left="1470" w:start="1470"/>
      </w:pPr>
      <w:rPr>
        <w:rFonts w:ascii="Times New Roman" w:eastAsia="Times New Roman" w:hAnsi="Times New Roman" w:cs="Times New Roman"/>
        <w:sz w:val="24"/>
      </w:rPr>
    </w:lvl>
    <w:lvl w:ilvl="3">
      <w:lvlJc w:val="left"/>
      <w:lvlText w:val="%1.%2.%3.%4"/>
      <w:numFmt w:val="decimal"/>
      <w:start w:val="1"/>
      <w:suff w:val="tab"/>
      <w:pPr>
        <w:ind w:hanging="1080" w:left="1830" w:start="1830"/>
      </w:pPr>
      <w:rPr>
        <w:rFonts w:ascii="Times New Roman" w:eastAsia="Times New Roman" w:hAnsi="Times New Roman" w:cs="Times New Roman"/>
        <w:sz w:val="24"/>
      </w:rPr>
    </w:lvl>
    <w:lvl w:ilvl="4">
      <w:lvlJc w:val="left"/>
      <w:lvlText w:val="%1.%2.%3.%4.%5"/>
      <w:numFmt w:val="decimal"/>
      <w:start w:val="1"/>
      <w:suff w:val="tab"/>
      <w:pPr>
        <w:ind w:hanging="1080" w:left="1830" w:start="1830"/>
      </w:pPr>
      <w:rPr>
        <w:rFonts w:ascii="Times New Roman" w:eastAsia="Times New Roman" w:hAnsi="Times New Roman" w:cs="Times New Roman"/>
        <w:sz w:val="24"/>
      </w:rPr>
    </w:lvl>
    <w:lvl w:ilvl="5">
      <w:lvlJc w:val="left"/>
      <w:lvlText w:val="%1.%2.%3.%4.%5.%6"/>
      <w:numFmt w:val="decimal"/>
      <w:start w:val="1"/>
      <w:suff w:val="tab"/>
      <w:pPr>
        <w:ind w:hanging="1440" w:left="2190" w:start="2190"/>
      </w:pPr>
      <w:rPr>
        <w:rFonts w:ascii="Times New Roman" w:eastAsia="Times New Roman" w:hAnsi="Times New Roman" w:cs="Times New Roman"/>
        <w:sz w:val="24"/>
      </w:rPr>
    </w:lvl>
    <w:lvl w:ilvl="6">
      <w:lvlJc w:val="left"/>
      <w:lvlText w:val="%1.%2.%3.%4.%5.%6.%7"/>
      <w:numFmt w:val="decimal"/>
      <w:start w:val="1"/>
      <w:suff w:val="tab"/>
      <w:pPr>
        <w:ind w:hanging="1440" w:left="2190" w:start="2190"/>
      </w:pPr>
      <w:rPr>
        <w:rFonts w:ascii="Times New Roman" w:eastAsia="Times New Roman" w:hAnsi="Times New Roman" w:cs="Times New Roman"/>
        <w:sz w:val="24"/>
      </w:rPr>
    </w:lvl>
    <w:lvl w:ilvl="7">
      <w:lvlJc w:val="left"/>
      <w:lvlText w:val="%1.%2.%3.%4.%5.%6.%7.%8"/>
      <w:numFmt w:val="decimal"/>
      <w:start w:val="1"/>
      <w:suff w:val="tab"/>
      <w:pPr>
        <w:ind w:hanging="1800" w:left="2550" w:start="2550"/>
      </w:pPr>
      <w:rPr>
        <w:rFonts w:ascii="Times New Roman" w:eastAsia="Times New Roman" w:hAnsi="Times New Roman" w:cs="Times New Roman"/>
        <w:sz w:val="24"/>
      </w:rPr>
    </w:lvl>
    <w:lvl w:ilvl="8">
      <w:lvlJc w:val="left"/>
      <w:lvlText w:val="%1.%2.%3.%4.%5.%6.%7.%8.%9"/>
      <w:numFmt w:val="decimal"/>
      <w:start w:val="1"/>
      <w:suff w:val="tab"/>
      <w:pPr>
        <w:ind w:hanging="2160" w:left="2910" w:start="2910"/>
      </w:pPr>
      <w:rPr>
        <w:rFonts w:ascii="Times New Roman" w:eastAsia="Times New Roman" w:hAnsi="Times New Roman" w:cs="Times New Roman"/>
        <w:sz w:val="24"/>
      </w:rPr>
    </w:lvl>
  </w:abstractNum>
  <w:abstractNum w:abstractNumId="696976510">
    <w:multiLevelType w:val="hybridMultilevel"/>
    <w:tmpl w:val="3d204476"/>
    <w:lvl w:ilvl="0">
      <w:lvlJc w:val="left"/>
      <w:lvlText w:val="%1."/>
      <w:numFmt w:val="decimal"/>
      <w:start w:val="1"/>
      <w:suff w:val="tab"/>
      <w:pPr>
        <w:ind w:hanging="360" w:left="720" w:start="720"/>
      </w:pPr>
      <w:rPr>
        <w:rFonts w:ascii="Times New Roman" w:eastAsia="Times New Roman" w:hAnsi="Times New Roman" w:cs="Times New Roman"/>
        <w:sz w:val="24"/>
      </w:rPr>
    </w:lvl>
    <w:lvl w:ilvl="1" w:tentative="1">
      <w:lvlJc w:val="left"/>
      <w:lvlText w:val="%2."/>
      <w:numFmt w:val="lowerLetter"/>
      <w:start w:val="1"/>
      <w:suff w:val="tab"/>
      <w:pPr>
        <w:ind w:hanging="360" w:left="1440" w:start="1440"/>
      </w:pPr>
      <w:rPr>
        <w:rFonts w:ascii="Times New Roman" w:eastAsia="Times New Roman" w:hAnsi="Times New Roman" w:cs="Times New Roman"/>
        <w:sz w:val="24"/>
      </w:rPr>
    </w:lvl>
    <w:lvl w:ilvl="2" w:tentative="1">
      <w:lvlJc w:val="right"/>
      <w:lvlText w:val="%3."/>
      <w:numFmt w:val="lowerRoman"/>
      <w:start w:val="1"/>
      <w:suff w:val="tab"/>
      <w:pPr>
        <w:ind w:hanging="180" w:left="2160" w:start="2160"/>
      </w:pPr>
      <w:rPr>
        <w:rFonts w:ascii="Times New Roman" w:eastAsia="Times New Roman" w:hAnsi="Times New Roman" w:cs="Times New Roman"/>
        <w:sz w:val="24"/>
      </w:rPr>
    </w:lvl>
    <w:lvl w:ilvl="3" w:tentative="1">
      <w:lvlJc w:val="left"/>
      <w:lvlText w:val="%4."/>
      <w:numFmt w:val="decimal"/>
      <w:start w:val="1"/>
      <w:suff w:val="tab"/>
      <w:pPr>
        <w:ind w:hanging="360" w:left="2880" w:start="2880"/>
      </w:pPr>
      <w:rPr>
        <w:rFonts w:ascii="Times New Roman" w:eastAsia="Times New Roman" w:hAnsi="Times New Roman" w:cs="Times New Roman"/>
        <w:sz w:val="24"/>
      </w:rPr>
    </w:lvl>
    <w:lvl w:ilvl="4" w:tentative="1">
      <w:lvlJc w:val="left"/>
      <w:lvlText w:val="%5."/>
      <w:numFmt w:val="lowerLetter"/>
      <w:start w:val="1"/>
      <w:suff w:val="tab"/>
      <w:pPr>
        <w:ind w:hanging="360" w:left="3600" w:start="3600"/>
      </w:pPr>
      <w:rPr>
        <w:rFonts w:ascii="Times New Roman" w:eastAsia="Times New Roman" w:hAnsi="Times New Roman" w:cs="Times New Roman"/>
        <w:sz w:val="24"/>
      </w:rPr>
    </w:lvl>
    <w:lvl w:ilvl="5" w:tentative="1">
      <w:lvlJc w:val="right"/>
      <w:lvlText w:val="%6."/>
      <w:numFmt w:val="lowerRoman"/>
      <w:start w:val="1"/>
      <w:suff w:val="tab"/>
      <w:pPr>
        <w:ind w:hanging="180" w:left="4320" w:start="4320"/>
      </w:pPr>
      <w:rPr>
        <w:rFonts w:ascii="Times New Roman" w:eastAsia="Times New Roman" w:hAnsi="Times New Roman" w:cs="Times New Roman"/>
        <w:sz w:val="24"/>
      </w:rPr>
    </w:lvl>
    <w:lvl w:ilvl="6" w:tentative="1">
      <w:lvlJc w:val="left"/>
      <w:lvlText w:val="%7."/>
      <w:numFmt w:val="decimal"/>
      <w:start w:val="1"/>
      <w:suff w:val="tab"/>
      <w:pPr>
        <w:ind w:hanging="360" w:left="5040" w:start="5040"/>
      </w:pPr>
      <w:rPr>
        <w:rFonts w:ascii="Times New Roman" w:eastAsia="Times New Roman" w:hAnsi="Times New Roman" w:cs="Times New Roman"/>
        <w:sz w:val="24"/>
      </w:rPr>
    </w:lvl>
    <w:lvl w:ilvl="7" w:tentative="1">
      <w:lvlJc w:val="left"/>
      <w:lvlText w:val="%8."/>
      <w:numFmt w:val="lowerLetter"/>
      <w:start w:val="1"/>
      <w:suff w:val="tab"/>
      <w:pPr>
        <w:ind w:hanging="360" w:left="5760" w:start="5760"/>
      </w:pPr>
      <w:rPr>
        <w:rFonts w:ascii="Times New Roman" w:eastAsia="Times New Roman" w:hAnsi="Times New Roman" w:cs="Times New Roman"/>
        <w:sz w:val="24"/>
      </w:rPr>
    </w:lvl>
    <w:lvl w:ilvl="8" w:tentative="1">
      <w:lvlJc w:val="right"/>
      <w:lvlText w:val="%9."/>
      <w:numFmt w:val="lowerRoman"/>
      <w:start w:val="1"/>
      <w:suff w:val="tab"/>
      <w:pPr>
        <w:ind w:hanging="180" w:left="6480" w:start="6480"/>
      </w:pPr>
      <w:rPr>
        <w:rFonts w:ascii="Times New Roman" w:eastAsia="Times New Roman" w:hAnsi="Times New Roman" w:cs="Times New Roman"/>
        <w:sz w:val="24"/>
      </w:rPr>
    </w:lvl>
  </w:abstractNum>
  <w:num w:numId="1">
    <w:abstractNumId w:val="55129315"/>
    <w:lvlOverride w:ilvl="0">
      <w:lvl w:ilvl="0">
        <w:lvlText w:val=""/>
        <w:numFmt w:val="decimal"/>
        <w:rPr>
          <w:rFonts w:ascii="Times New Roman" w:eastAsia="Times New Roman" w:hAnsi="Times New Roman" w:cs="Times New Roman"/>
        </w:rPr>
      </w:lvl>
    </w:lvlOverride>
    <w:lvlOverride w:ilvl="0">
      <w:lvl w:ilvl="0">
        <w:lvlText w:val=""/>
        <w:numFmt w:val="decimal"/>
        <w:rPr>
          <w:rFonts w:ascii="Times New Roman" w:eastAsia="Times New Roman" w:hAnsi="Times New Roman" w:cs="Times New Roman"/>
        </w:rPr>
      </w:lvl>
    </w:lvlOverride>
    <w:lvlOverride w:ilvl="0">
      <w:lvl w:ilvl="0">
        <w:lvlText w:val=""/>
        <w:numFmt w:val="decimal"/>
        <w:rPr>
          <w:rFonts w:ascii="Times New Roman" w:eastAsia="Times New Roman" w:hAnsi="Times New Roman" w:cs="Times New Roman"/>
        </w:rPr>
      </w:lvl>
    </w:lvlOverride>
    <w:lvlOverride w:ilvl="0">
      <w:lvl w:ilvl="0">
        <w:lvlText w:val=""/>
        <w:numFmt w:val="decimal"/>
        <w:rPr>
          <w:rFonts w:ascii="Times New Roman" w:eastAsia="Times New Roman" w:hAnsi="Times New Roman" w:cs="Times New Roman"/>
        </w:rPr>
      </w:lvl>
    </w:lvlOverride>
    <w:lvlOverride w:ilvl="0">
      <w:lvl w:ilvl="0">
        <w:lvlText w:val=""/>
        <w:numFmt w:val="decimal"/>
        <w:rPr>
          <w:rFonts w:ascii="Times New Roman" w:eastAsia="Times New Roman" w:hAnsi="Times New Roman" w:cs="Times New Roman"/>
        </w:rPr>
      </w:lvl>
    </w:lvlOverride>
    <w:lvlOverride w:ilvl="0">
      <w:lvl w:ilvl="0">
        <w:lvlText w:val=""/>
        <w:numFmt w:val="decimal"/>
        <w:rPr>
          <w:rFonts w:ascii="Times New Roman" w:eastAsia="Times New Roman" w:hAnsi="Times New Roman" w:cs="Times New Roman"/>
        </w:rPr>
      </w:lvl>
    </w:lvlOverride>
    <w:lvlOverride w:ilvl="0">
      <w:lvl w:ilvl="0">
        <w:lvlText w:val=""/>
        <w:numFmt w:val="decimal"/>
        <w:rPr>
          <w:rFonts w:ascii="Times New Roman" w:eastAsia="Times New Roman" w:hAnsi="Times New Roman" w:cs="Times New Roman"/>
        </w:rPr>
      </w:lvl>
    </w:lvlOverride>
    <w:lvlOverride w:ilvl="0">
      <w:lvl w:ilvl="0">
        <w:lvlText w:val=""/>
        <w:numFmt w:val="decimal"/>
        <w:rPr>
          <w:rFonts w:ascii="Times New Roman" w:eastAsia="Times New Roman" w:hAnsi="Times New Roman" w:cs="Times New Roman"/>
        </w:rPr>
      </w:lvl>
    </w:lvlOverride>
    <w:lvlOverride w:ilvl="0">
      <w:lvl w:ilvl="0">
        <w:lvlText w:val=""/>
        <w:numFmt w:val="decimal"/>
        <w:rPr>
          <w:rFonts w:ascii="Times New Roman" w:eastAsia="Times New Roman" w:hAnsi="Times New Roman" w:cs="Times New Roman"/>
        </w:rPr>
      </w:lvl>
    </w:lvlOverride>
  </w:num>
  <w:num w:numId="2">
    <w:abstractNumId w:val="696976510"/>
  </w:num>
</w:numbering>
</file>

<file path=word/settings.xml><?xml version="1.0" encoding="utf-8"?>
<w:settings xmlns:w="http://schemas.openxmlformats.org/wordprocessingml/2006/main" xmlns:m="http://schemas.openxmlformats.org/officeDocument/2006/math">
  <w:zoom w:percent="100"/>
  <w:defaultTabStop w:val="708"/>
  <w:characterSpacingControl xmlns:w="http://schemas.openxmlformats.org/wordprocessingml/2006/main" w:val="doNotCompress"/>
  <w:compat xmlns:w="http://schemas.openxmlformats.org/wordprocessingml/2006/main"/>
  <m:mathPr>
    <m:mathFont m:val="Cambria Math"/>
    <m:brkBin m:val="before"/>
    <m:brkBinSub m:val="--"/>
    <m:smallFrac w:val="0"/>
    <m:dispDef w:val="1"/>
    <m:lMargin w:val="0"/>
    <m:rMargin w:val="0"/>
    <m:defJc m:val="centerGroup"/>
    <m:wrapIndent w:val="1440"/>
    <m:intLim xmlns:m="http://schemas.openxmlformats.org/officeDocument/2006/math" m:val="subSup"/>
    <m:naryLim m:val="undOvr"/>
  </m:mathPr>
  <w:themeFontLang xmlns:w="http://schemas.openxmlformats.org/wordprocessingml/2006/main" w:val="ru-RU"/>
  <w:clrSchemeMapping xmlns:w="http://schemas.openxmlformats.org/wordprocessingml/2006/main" w:bg1="light1" w:t1="dark1" w:bg2="light2" w:t2="dark2" w:accent1="accent1" w:accent2="accent2" w:accent3="accent3" w:accent4="accent4" w:accent5="accent5" w:accent6="accent6" w:hyperlink="hyperlink" w:followedHyperlink="followedHyperlink"/>
  <w:shapeDefaults xmlns:w="http://schemas.openxmlformats.org/wordprocessingml/2006/main">
    <o:shapedefaults xmlns:o="urn:schemas-microsoft-com:office:office" xmlns:v="urn:schemas-microsoft-com:vml" v:ext="edit" spidmax="2050"/>
    <o:shapelayout xmlns:o="urn:schemas-microsoft-com:office:office" xmlns:v="urn:schemas-microsoft-com:vml" v:ext="edit">
      <o:idmap v:ext="edit" data="1"/>
    </o:shapelayout>
  </w:shapeDefaults>
  <w:decimalSymbol xmlns:w="http://schemas.openxmlformats.org/wordprocessingml/2006/main" w:val=","/>
  <w:listSeparator xmlns:w="http://schemas.openxmlformats.org/wordprocessingml/2006/main" w:val=";"/>
  <w:bordersDoNotSurroundHeader xmlns:w="http://schemas.openxmlformats.org/wordprocessingml/2006/main" w:val="false"/>
  <w:bordersDoNotSurroundFooter xmlns:w="http://schemas.openxmlformats.org/wordprocessingml/2006/main" w:val="false"/>
  <w:footnotePr xmlns:w="http://schemas.openxmlformats.org/wordprocessingml/2006/main">
    <w:footnote w:id="0"/>
    <w:footnote w:id="1"/>
    <w:pos w:val="pageBottom"/>
  </w:footnotePr>
  <w:endnotePr xmlns:w="http://schemas.openxmlformats.org/wordprocessingml/2006/main">
    <w:endnote w:id="0"/>
    <w:endnote w:id="1"/>
    <w:pos w:val="docEnd"/>
  </w:endnotePr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53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_rels/document.xml.rels><?xml version="1.0" encoding="UTF-8" standalone="yes"?>
<Relationships xmlns="http://schemas.openxmlformats.org/package/2006/relationships"><Relationship Id="rId2" Type="http://schemas.openxmlformats.org/officeDocument/2006/relationships/image" Target="media/Image1.png"/><Relationship Id="rId3" Type="http://schemas.openxmlformats.org/officeDocument/2006/relationships/theme" Target="theme/theme1.xml"/><Relationship Id="rId4" Type="http://schemas.openxmlformats.org/officeDocument/2006/relationships/header" Target="header1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numbering" Target="numbering.xml"/><Relationship Id="rId8" Type="http://schemas.openxmlformats.org/officeDocument/2006/relationships/styles" Target="styles.xml"/><Relationship Id="rId9" Type="http://schemas.openxmlformats.org/officeDocument/2006/relationships/fontTable" Target="fontTable.xml"/><Relationship Id="rId1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xmlns:mc="http://schemas.openxmlformats.org/markup-compatibility/2006" xmlns:a14="http://schemas.microsoft.com/office/drawing/2007/7/7/main" val="1F497D" mc:Ignorable=""/>
      </a:dk2>
      <a:lt2>
        <a:srgbClr xmlns:mc="http://schemas.openxmlformats.org/markup-compatibility/2006" xmlns:a14="http://schemas.microsoft.com/office/drawing/2007/7/7/main" val="EEECE1" mc:Ignorable=""/>
      </a:lt2>
      <a:accent1>
        <a:srgbClr xmlns:mc="http://schemas.openxmlformats.org/markup-compatibility/2006" xmlns:a14="http://schemas.microsoft.com/office/drawing/2007/7/7/main" val="4F81BD" mc:Ignorable=""/>
      </a:accent1>
      <a:accent2>
        <a:srgbClr xmlns:mc="http://schemas.openxmlformats.org/markup-compatibility/2006" xmlns:a14="http://schemas.microsoft.com/office/drawing/2007/7/7/main" val="C0504D" mc:Ignorable=""/>
      </a:accent2>
      <a:accent3>
        <a:srgbClr xmlns:mc="http://schemas.openxmlformats.org/markup-compatibility/2006" xmlns:a14="http://schemas.microsoft.com/office/drawing/2007/7/7/main" val="9BBB59" mc:Ignorable=""/>
      </a:accent3>
      <a:accent4>
        <a:srgbClr xmlns:mc="http://schemas.openxmlformats.org/markup-compatibility/2006" xmlns:a14="http://schemas.microsoft.com/office/drawing/2007/7/7/main" val="8064A2" mc:Ignorable=""/>
      </a:accent4>
      <a:accent5>
        <a:srgbClr xmlns:mc="http://schemas.openxmlformats.org/markup-compatibility/2006" xmlns:a14="http://schemas.microsoft.com/office/drawing/2007/7/7/main" val="4BACC6" mc:Ignorable=""/>
      </a:accent5>
      <a:accent6>
        <a:srgbClr xmlns:mc="http://schemas.openxmlformats.org/markup-compatibility/2006" xmlns:a14="http://schemas.microsoft.com/office/drawing/2007/7/7/main" val="F79646" mc:Ignorable=""/>
      </a:accent6>
      <a:hlink>
        <a:srgbClr xmlns:mc="http://schemas.openxmlformats.org/markup-compatibility/2006" xmlns:a14="http://schemas.microsoft.com/office/drawing/2007/7/7/main" val="0000FF" mc:Ignorable=""/>
      </a:hlink>
      <a:folHlink>
        <a:srgbClr xmlns:mc="http://schemas.openxmlformats.org/markup-compatibility/2006" xmlns:a14="http://schemas.microsoft.com/office/drawing/2007/7/7/main" val="800080" mc:Ignorable="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xmlns:mc="http://schemas.openxmlformats.org/markup-compatibility/2006" xmlns:a14="http://schemas.microsoft.com/office/drawing/2007/7/7/main" val="000000" mc:Ignorable="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xmlns:mc="http://schemas.openxmlformats.org/markup-compatibility/2006" xmlns:a14="http://schemas.microsoft.com/office/drawing/2007/7/7/main" val="000000" mc:Ignorable="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xmlns:mc="http://schemas.openxmlformats.org/markup-compatibility/2006" xmlns:a14="http://schemas.microsoft.com/office/drawing/2007/7/7/main" val="000000" mc:Ignorable="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>
  <TotalTime>5</TotalTime>
  <Pages>3</Pages>
  <Words>465</Words>
  <Characters>2651</Characters>
  <CharactersWithSpaces>3110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Лугинина Виктория</dc:creator>
</cp:coreProperties>
</file>