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10" Type="http://schemas.openxmlformats.org/officeDocument/2006/relationships/extended-properties" Target="docProps/app.xml"/><Relationship Id="rId11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v="urn:schemas-microsoft-com:vml" xmlns:o="urn:schemas-microsoft-com:office:office" xmlns:wp="http://schemas.openxmlformats.org/drawingml/2006/wordprocessingDrawing" xmlns:m="http://schemas.openxmlformats.org/officeDocument/2006/math" xmlns:w10="urn:schemas-microsoft-com:office:word" xmlns:a="http://schemas.openxmlformats.org/drawingml/2006/main">
  <w:body>
    <w:p>
      <w:pPr>
        <w:jc w:val="center"/>
        <w:textAlignment w:val="auto"/>
        <w:ind w:left="0" w:right="0" w:start="0" w:end="0"/>
        <w:spacing w:after="0" w:line="240"/>
        <w:bidi w:val="false"/>
        <w:tabs>
          <w:tab w:val="left" w:pos="1134"/>
          <w:tab w:val="left" w:pos="1276"/>
        </w:tabs>
        <w:rPr>
          <w:rFonts w:ascii="Arial" w:eastAsia="Arial" w:hAnsi="Arial" w:cs="Arial"/>
          <w:sz w:val="20"/>
        </w:rPr>
      </w:pPr>
      <w:r>
        <w:pict>
          <v:shape id="_x0000_s1025" type="#_x0000_t75" style="width:56pt;height:74pt;mso-position-horizontal:absolute;mso-position-horizontal-relative:char;mso-position-vertical:absolute;mso-position-vertical-relative:line;z-index:251658240" o:allowincell="true" filled="f" stroked="f">
            <v:imagedata r:id="rId2" cropleft="0f" croptop="0f" cropright="0f" cropbottom="0f" o:title=""/>
          </v:shape>
        </w:pict>
      </w:r>
    </w:p>
    <w:p>
      <w:pPr>
        <w:jc w:val="center"/>
        <w:textAlignment w:val="auto"/>
        <w:ind w:left="0" w:right="0" w:start="0" w:end="0"/>
        <w:spacing w:after="0" w:line="240"/>
        <w:bidi w:val="false"/>
        <w:tabs>
          <w:tab w:val="left" w:pos="1134"/>
          <w:tab w:val="left" w:pos="1276"/>
        </w:tabs>
        <w:rPr>
          <w:rFonts w:ascii="Arial" w:eastAsia="Arial" w:hAnsi="Arial" w:cs="Arial"/>
          <w:sz w:val="28"/>
        </w:rPr>
      </w:pPr>
    </w:p>
    <w:p>
      <w:pPr>
        <w:outlineLvl w:val="0"/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Совет депутатов муниципального образования </w:t>
      </w:r>
    </w:p>
    <w:p>
      <w:pPr>
        <w:outlineLvl w:val="0"/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Пикалевское городское поселение</w:t>
      </w:r>
    </w:p>
    <w:p>
      <w:pPr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Бокситогорского муниципального района Ленинградской области</w:t>
      </w:r>
    </w:p>
    <w:p>
      <w:pPr>
        <w:jc w:val="left"/>
        <w:textAlignment w:val="auto"/>
        <w:ind w:left="0" w:right="0" w:start="0" w:end="0"/>
        <w:spacing w:after="0" w:line="240"/>
        <w:bidi w:val="false"/>
        <w:rPr>
          <w:b w:val="true"/>
          <w:spacing w:val="20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spacing w:after="0" w:line="240"/>
        <w:bidi w:val="false"/>
        <w:rPr>
          <w:b w:val="true"/>
          <w:spacing w:val="60"/>
          <w:rFonts w:ascii="Times New Roman" w:eastAsia="Times New Roman" w:hAnsi="Times New Roman" w:cs="Times New Roman"/>
          <w:sz w:val="34"/>
        </w:rPr>
      </w:pPr>
      <w:r>
        <w:rPr>
          <w:b w:val="true"/>
          <w:spacing w:val="60"/>
          <w:rFonts w:ascii="Times New Roman" w:eastAsia="Times New Roman" w:hAnsi="Times New Roman" w:cs="Times New Roman"/>
          <w:sz w:val="34"/>
        </w:rPr>
        <w:t xml:space="preserve">РЕШЕНИЕ</w:t>
      </w:r>
    </w:p>
    <w:p>
      <w:pPr>
        <w:jc w:val="center"/>
        <w:textAlignment w:val="auto"/>
        <w:ind w:left="0" w:right="-141" w:start="0" w:end="-141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 30 января 2025 года № 7</w:t>
      </w: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О внесении изменений в решение Совета депутатов от 18 июля 2024 года №29 «Об утверждении Плана приватизации имущества </w:t>
      </w: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муниципального образования Пикалевское городское поселение</w:t>
      </w: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Бокситогорского муниципального района Ленинградской области</w:t>
      </w: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на 2025 год»</w:t>
      </w:r>
    </w:p>
    <w:p>
      <w:pPr>
        <w:jc w:val="center"/>
        <w:textAlignment w:val="auto"/>
        <w:ind w:left="426" w:right="0" w:start="426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jc w:val="center"/>
        <w:textAlignment w:val="auto"/>
        <w:ind w:left="426" w:right="0" w:start="426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firstLine="710" w:left="0" w:right="0" w:start="0" w:end="0"/>
        <w:adjustRightInd w:val="true"/>
        <w:spacing w:after="0" w:line="240"/>
        <w:bidi w:val="false"/>
        <w:tabs>
          <w:tab w:val="left" w:pos="709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соответствии с постановлением Правительства Российской Федерации от 26 декабря 2005 № 806 «Об утверждении Правил разработки прогнозных планов (программ) приватизации государственного и муниципального имущества и внесении изменений в Правила подготовки и принятия решений об условиях приватизации федерального имущества», на основании Федерального закона от 21 декабря 2001 года № 178-ФЗ «О приватизации государственного и муниципального имущества», Совет депутатов Пикалевского городского поселения решил:</w:t>
      </w:r>
    </w:p>
    <w:p>
      <w:pPr>
        <w:jc w:val="both"/>
        <w:textAlignment w:val="auto"/>
        <w:ind w:firstLine="750" w:left="0" w:right="0" w:start="0" w:end="0"/>
        <w:adjustRightInd w:val="true"/>
        <w:spacing w:after="0" w:line="240"/>
        <w:bidi w:val="false"/>
        <w:numPr>
          <w:ilvl w:val="0"/>
          <w:numId w:val="1"/>
        </w:numPr>
        <w:tabs>
          <w:tab w:val="left" w:pos="709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Внести следующие изменения в решение Совета депутатов от 18 июля 2024 года № 29 «Об утверждении Плана приватизации имущества муниципального образования Пикалевское городское поселение Бокситогорского муниципального района Ленинградской области на 2025 год», изложив приложение в следующей редакции:</w:t>
      </w:r>
    </w:p>
    <w:tbl>
      <w:tblPr>
        <w:tblLayout w:type="fixed"/>
        <w:tblInd w:w="-5" w:type="dxa"/>
        <w:tblW w:w="10065" w:type="dxa"/>
        <w:tblCellMar>
          <w:bottom w:w="0" w:type="dxa"/>
          <w:left w:w="108" w:type="dxa"/>
          <w:right w:w="108" w:type="dxa"/>
          <w:top w:w="0" w:type="dxa"/>
        </w:tblCellMar>
        <w:tblBorders>
          <w:left w:sz="4" w:space="0" w:val="single"/>
          <w:right w:sz="4" w:space="0" w:val="single"/>
          <w:top w:sz="4" w:space="0" w:val="single"/>
          <w:bottom w:sz="4" w:space="0" w:val="single"/>
          <w:insideV w:sz="4" w:space="0" w:val="single"/>
          <w:insideH w:sz="4" w:space="0" w:val="single"/>
        </w:tblBorders>
      </w:tblPr>
      <w:tblGrid>
        <w:gridCol w:w="424"/>
        <w:gridCol w:w="2549"/>
        <w:gridCol w:w="1845"/>
        <w:gridCol w:w="1276"/>
        <w:gridCol w:w="854"/>
        <w:gridCol w:w="1700"/>
        <w:gridCol w:w="1417"/>
      </w:tblGrid>
      <w:tr>
        <w:trPr>
          <w:cantSplit w:val="true"/>
          <w:trHeight w:val="2006" w:hRule="atLeast"/>
        </w:trPr>
        <w:tc>
          <w:tcPr>
            <w:tcW w:type="dxa" w:w="424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-105" w:right="0" w:start="-105" w:end="0"/>
              <w:adjustRightInd w:val="true"/>
              <w:spacing w:after="0" w:line="240"/>
              <w:bidi w:val="false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№ п/п</w:t>
            </w:r>
          </w:p>
        </w:tc>
        <w:tc>
          <w:tcPr>
            <w:tcW w:type="dxa" w:w="2549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-152" w:right="0" w:start="-152" w:end="0"/>
              <w:adjustRightInd w:val="true"/>
              <w:spacing w:after="0" w:line="240"/>
              <w:bidi w:val="false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Наименование </w:t>
            </w:r>
          </w:p>
          <w:p>
            <w:pPr>
              <w:jc w:val="center"/>
              <w:textAlignment w:val="auto"/>
              <w:ind w:left="-167" w:right="0" w:start="-167" w:end="0"/>
              <w:adjustRightInd w:val="true"/>
              <w:spacing w:after="0" w:line="240"/>
              <w:bidi w:val="false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объекта, общая </w:t>
            </w:r>
          </w:p>
          <w:p>
            <w:pPr>
              <w:jc w:val="center"/>
              <w:textAlignment w:val="auto"/>
              <w:ind w:left="-167" w:right="0" w:start="-167" w:end="0"/>
              <w:adjustRightInd w:val="true"/>
              <w:spacing w:after="0" w:line="240"/>
              <w:bidi w:val="false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площадь (кв. м.), кадастровый номер</w:t>
            </w:r>
          </w:p>
          <w:p>
            <w:pPr>
              <w:jc w:val="center"/>
              <w:textAlignment w:val="auto"/>
              <w:ind w:left="-10" w:right="0" w:start="-10" w:end="0"/>
              <w:adjustRightInd w:val="true"/>
              <w:spacing w:after="0" w:line="240"/>
              <w:bidi w:val="false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type="dxa" w:w="1845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-157" w:right="0" w:start="-157" w:end="0"/>
              <w:adjustRightInd w:val="true"/>
              <w:spacing w:after="0" w:line="240"/>
              <w:bidi w:val="false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Местонахождение</w:t>
            </w:r>
          </w:p>
          <w:p>
            <w:pPr>
              <w:jc w:val="center"/>
              <w:textAlignment w:val="auto"/>
              <w:ind w:left="-157" w:right="0" w:start="-157" w:end="0"/>
              <w:adjustRightInd w:val="true"/>
              <w:spacing w:after="0" w:line="240"/>
              <w:bidi w:val="false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объекта</w:t>
            </w:r>
          </w:p>
        </w:tc>
        <w:tc>
          <w:tcPr>
            <w:tcW w:type="dxa" w:w="1276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-101" w:right="0" w:start="-101" w:end="0"/>
              <w:adjustRightInd w:val="true"/>
              <w:spacing w:after="0" w:line="240"/>
              <w:bidi w:val="false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Назначение имущества</w:t>
            </w:r>
          </w:p>
        </w:tc>
        <w:tc>
          <w:tcPr>
            <w:tcW w:type="dxa" w:w="854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-96" w:right="0" w:start="-96" w:end="0"/>
              <w:adjustRightInd w:val="true"/>
              <w:spacing w:after="0" w:line="240"/>
              <w:bidi w:val="false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Код группы по ОКВЭД</w:t>
            </w:r>
          </w:p>
        </w:tc>
        <w:tc>
          <w:tcPr>
            <w:tcW w:type="dxa" w:w="1700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160" w:line="240"/>
              <w:bidi w:val="false"/>
              <w:rPr>
                <w:rFonts w:ascii="Calibri" w:eastAsia="Calibri" w:hAnsi="Calibri" w:cs="Calibri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Прогноз объемов поступления в бюджет, руб.</w:t>
            </w:r>
          </w:p>
        </w:tc>
        <w:tc>
          <w:tcPr>
            <w:tcW w:type="dxa" w:w="1417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-112" w:right="0" w:start="-112" w:end="0"/>
              <w:adjustRightInd w:val="true"/>
              <w:spacing w:after="0" w:line="240"/>
              <w:bidi w:val="false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Способ приватизации</w:t>
            </w:r>
          </w:p>
        </w:tc>
      </w:tr>
      <w:tr>
        <w:trPr>
          <w:trHeight w:val="1245" w:hRule="atLeast"/>
        </w:trPr>
        <w:tc>
          <w:tcPr>
            <w:tcW w:type="dxa" w:w="424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321"/>
              </w:tabs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</w:t>
            </w:r>
          </w:p>
        </w:tc>
        <w:tc>
          <w:tcPr>
            <w:tcW w:type="dxa" w:w="2549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6" w:right="0" w:start="6" w:end="0"/>
              <w:adjustRightInd w:val="true"/>
              <w:spacing w:after="0" w:line="240"/>
              <w:bidi w:val="false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Нежилое помещение в многоквартирном доме, общей площадью 62,7 кв.м., 1 этаж, кадастровый номер 47:19:0000000:2666</w:t>
            </w:r>
          </w:p>
        </w:tc>
        <w:tc>
          <w:tcPr>
            <w:tcW w:type="dxa" w:w="1845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г. Пикалево, </w:t>
            </w:r>
          </w:p>
          <w:p>
            <w:pPr>
              <w:jc w:val="left"/>
              <w:textAlignment w:val="auto"/>
              <w:ind w:left="-102" w:right="0" w:start="-102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6 микрорайон, д.33, пом.77</w:t>
            </w:r>
          </w:p>
        </w:tc>
        <w:tc>
          <w:tcPr>
            <w:tcW w:type="dxa" w:w="1276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-111" w:right="0" w:start="-111" w:end="0"/>
              <w:adjustRightInd w:val="true"/>
              <w:spacing w:after="0" w:line="240"/>
              <w:bidi w:val="false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Нежилое помещение</w:t>
            </w:r>
          </w:p>
        </w:tc>
        <w:tc>
          <w:tcPr>
            <w:tcW w:type="dxa" w:w="854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</w:rPr>
            </w:pPr>
          </w:p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68</w:t>
            </w:r>
          </w:p>
        </w:tc>
        <w:tc>
          <w:tcPr>
            <w:tcW w:type="dxa" w:w="1700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</w:rPr>
            </w:pPr>
          </w:p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290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000,00</w:t>
            </w:r>
          </w:p>
        </w:tc>
        <w:tc>
          <w:tcPr>
            <w:tcW w:type="dxa" w:w="1417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</w:rPr>
            </w:pPr>
          </w:p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Аукцион</w:t>
            </w:r>
          </w:p>
        </w:tc>
      </w:tr>
      <w:tr>
        <w:trPr>
          <w:trHeight w:val="1760" w:hRule="atLeast"/>
        </w:trPr>
        <w:tc>
          <w:tcPr>
            <w:tcW w:type="dxa" w:w="424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321"/>
              </w:tabs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</w:t>
            </w:r>
          </w:p>
        </w:tc>
        <w:tc>
          <w:tcPr>
            <w:tcW w:type="dxa" w:w="2549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Нежилое здание, общей площадью 32,8 кв.м., кадастровый номер 47:19:0102005:50</w:t>
            </w:r>
          </w:p>
        </w:tc>
        <w:tc>
          <w:tcPr>
            <w:tcW w:type="dxa" w:w="1845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13" w:right="0" w:start="13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г. Пикалево, проезд Железнодорожный, городское кладбище №1 </w:t>
            </w:r>
          </w:p>
        </w:tc>
        <w:tc>
          <w:tcPr>
            <w:tcW w:type="dxa" w:w="1276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-111" w:right="0" w:start="-111" w:end="0"/>
              <w:adjustRightInd w:val="true"/>
              <w:spacing w:after="0" w:line="240"/>
              <w:bidi w:val="false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Нежилое здание</w:t>
            </w:r>
          </w:p>
        </w:tc>
        <w:tc>
          <w:tcPr>
            <w:tcW w:type="dxa" w:w="854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</w:rPr>
            </w:pPr>
          </w:p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68</w:t>
            </w:r>
          </w:p>
        </w:tc>
        <w:tc>
          <w:tcPr>
            <w:tcW w:type="dxa" w:w="1700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</w:rPr>
            </w:pPr>
          </w:p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300 831,38,00</w:t>
            </w:r>
          </w:p>
        </w:tc>
        <w:tc>
          <w:tcPr>
            <w:tcW w:type="dxa" w:w="1417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</w:rPr>
            </w:pPr>
          </w:p>
          <w:p>
            <w:pPr>
              <w:jc w:val="center"/>
              <w:textAlignment w:val="auto"/>
              <w:ind w:left="-112" w:right="0" w:start="-112" w:end="0"/>
              <w:adjustRightInd w:val="true"/>
              <w:spacing w:after="0" w:line="240"/>
              <w:bidi w:val="false"/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Аукцион</w:t>
            </w:r>
          </w:p>
        </w:tc>
      </w:tr>
    </w:tbl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Настоящее решение подлежит опубликованию в газете «Рабочее слово» и размещению на официальном сайте Пикалевского городского поселения.</w:t>
      </w: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Решение вступает в силу после официального опубликования.</w:t>
      </w: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 Контроль за исполнением данного решения возложить на главу администрации Пикалевского городского поселения.</w:t>
      </w: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Глава Пикалевского городского поселения                                          Л.И. Гришкина</w:t>
      </w: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tabs>
          <w:tab w:val="left" w:pos="142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left="0" w:right="0" w:start="0" w:end="0"/>
        <w:adjustRightInd w:val="true"/>
        <w:spacing w:after="0" w:line="240"/>
        <w:bidi w:val="false"/>
        <w:tabs>
          <w:tab w:val="left" w:pos="142"/>
        </w:tabs>
        <w:rPr>
          <w:rFonts w:ascii="Calibri" w:eastAsia="Calibri" w:hAnsi="Calibri" w:cs="Calibri"/>
          <w:sz w:val="22"/>
        </w:rPr>
      </w:pPr>
    </w:p>
    <w:sectPr>
      <w:cols w:num="1" w:space="708" w:equalWidth="true"/>
      <w:footnotePr>
        <w:pos w:val="pageBottom"/>
      </w:footnotePr>
      <w:lnNumType w:distance="0"/>
      <w:pgSz w:w="11906" w:h="16838"/>
      <w:pgMar w:left="1418" w:right="567" w:top="1134" w:bottom="1134" w:gutter="0" w:header="709" w:footer="709"/>
      <w:titlePg/>
      <w:headerReference w:type="default" r:id="rId4"/>
    </w:sectPr>
  </w:body>
</w:document>
</file>

<file path=word/endnotes.xml><?xml version="1.0" encoding="utf-8"?>
<w:endnotes xmlns:wpc="http://schemas.microsoft.com/office/word/2008/6/28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08/9/16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09/2/wordml" xmlns:wpg="http://schemas.microsoft.com/office/word/2008/6/28/wordprocessingGroup" xmlns:wpi="http://schemas.microsoft.com/office/word/2008/6/28/wordprocessingInk" xmlns:wne="http://schemas.microsoft.com/office/word/2006/wordml" xmlns:wps="http://schemas.microsoft.com/office/word/2008/6/28/wordprocessingShape">
  <w:endnote w:type="separator" w:id="0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separator/>
      </w:r>
    </w:p>
  </w:endnote>
  <w:endnote w:type="continuationSeparator" w:id="1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separator/>
      </w:r>
    </w:p>
  </w:endnote>
</w:endnotes>
</file>

<file path=word/fontTable.xml><?xml version="1.0" encoding="utf-8"?>
<w:fonts xmlns:w="http://schemas.openxmlformats.org/wordprocessingml/2006/main">
  <w:font w:name="Times New Roman">
    <w:altName w:val="Times New Roman"/>
    <w:panose1 w:val="02020603050405020304"/>
    <w:family w:val="roman"/>
    <w:charset w:val="CC"/>
    <w:pitch w:val="variable"/>
  </w:font>
  <w:font w:name="Arial">
    <w:altName w:val="Arial"/>
    <w:panose1 w:val="020b0604020202020204"/>
    <w:family w:val="swiss"/>
    <w:charset w:val="CC"/>
    <w:pitch w:val="variable"/>
  </w:font>
  <w:font w:name="Cambria Math">
    <w:altName w:val="Palatino Linotype"/>
    <w:panose1 w:val="02040503050406030204"/>
    <w:family w:val="roman"/>
    <w:charset w:val="CC"/>
    <w:pitch w:val="variable"/>
  </w:font>
  <w:font w:name="Calibri">
    <w:altName w:val="Century Gothic"/>
    <w:panose1 w:val="020f0502020204030204"/>
    <w:family w:val="swiss"/>
    <w:charset w:val="CC"/>
    <w:pitch w:val="variable"/>
  </w:font>
  <w:font w:name="Segoe UI">
    <w:panose1 w:val="00000000000000000000"/>
    <w:family w:val="swiss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Calibri Light">
    <w:altName w:val="Arial"/>
    <w:panose1 w:val="020f0302020204030204"/>
    <w:family w:val="swiss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Calibri">
    <w:altName w:val="Century Gothic"/>
    <w:panose1 w:val="020f0502020204030204"/>
    <w:family w:val="swiss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Arial">
    <w:altName w:val="Arial"/>
    <w:family w:val="swiss"/>
    <w:charset w:val="00"/>
    <w:pitch w:val="variable"/>
  </w:font>
  <w:font w:name="Arial CE">
    <w:altName w:val="Arial"/>
    <w:family w:val="swiss"/>
    <w:charset w:val="EE"/>
    <w:pitch w:val="variable"/>
  </w:font>
  <w:font w:name="Arial Greek">
    <w:altName w:val="Arial"/>
    <w:family w:val="swiss"/>
    <w:charset w:val="A1"/>
    <w:pitch w:val="variable"/>
  </w:font>
  <w:font w:name="Arial Tur">
    <w:altName w:val="Arial"/>
    <w:family w:val="swiss"/>
    <w:charset w:val="A2"/>
    <w:pitch w:val="variable"/>
  </w:font>
  <w:font w:name="Arial (Hebrew)">
    <w:altName w:val="Arial"/>
    <w:family w:val="swiss"/>
    <w:charset w:val="B1"/>
    <w:pitch w:val="variable"/>
  </w:font>
  <w:font w:name="Arial (Arabic)">
    <w:altName w:val="Arial"/>
    <w:family w:val="swiss"/>
    <w:charset w:val="B2"/>
    <w:pitch w:val="variable"/>
  </w:font>
  <w:font w:name="Arial Baltic">
    <w:altName w:val="Arial"/>
    <w:family w:val="swiss"/>
    <w:charset w:val="BA"/>
    <w:pitch w:val="variable"/>
  </w:font>
  <w:font w:name="Arial (Vietnamese)">
    <w:altName w:val="Arial"/>
    <w:family w:val="swiss"/>
    <w:charset w:val="A3"/>
    <w:pitch w:val="variable"/>
  </w:font>
  <w:font w:name="Cambria Math">
    <w:altName w:val="Palatino Linotype"/>
    <w:family w:val="roman"/>
    <w:charset w:val="00"/>
    <w:pitch w:val="variable"/>
  </w:font>
  <w:font w:name="Cambria Math CE">
    <w:altName w:val="Palatino Linotype"/>
    <w:family w:val="roman"/>
    <w:charset w:val="EE"/>
    <w:pitch w:val="variable"/>
  </w:font>
  <w:font w:name="Cambria Math Greek">
    <w:altName w:val="Palatino Linotype"/>
    <w:family w:val="roman"/>
    <w:charset w:val="A1"/>
    <w:pitch w:val="variable"/>
  </w:font>
  <w:font w:name="Cambria Math Tur">
    <w:altName w:val="Palatino Linotype"/>
    <w:family w:val="roman"/>
    <w:charset w:val="A2"/>
    <w:pitch w:val="variable"/>
  </w:font>
  <w:font w:name="Cambria Math Baltic">
    <w:altName w:val="Palatino Linotype"/>
    <w:family w:val="roman"/>
    <w:charset w:val="BA"/>
    <w:pitch w:val="variable"/>
  </w:font>
  <w:font w:name="Cambria Math (Vietnamese)">
    <w:altName w:val="Palatino Linotype"/>
    <w:family w:val="roman"/>
    <w:charset w:val="A3"/>
    <w:pitch w:val="variable"/>
  </w:font>
  <w:font w:name="Calibri">
    <w:altName w:val="Century Gothic"/>
    <w:family w:val="swiss"/>
    <w:charset w:val="00"/>
    <w:pitch w:val="variable"/>
  </w:font>
  <w:font w:name="Calibri CE">
    <w:altName w:val="Century Gothic"/>
    <w:family w:val="swiss"/>
    <w:charset w:val="EE"/>
    <w:pitch w:val="variable"/>
  </w:font>
  <w:font w:name="Calibri Greek">
    <w:altName w:val="Century Gothic"/>
    <w:family w:val="swiss"/>
    <w:charset w:val="A1"/>
    <w:pitch w:val="variable"/>
  </w:font>
  <w:font w:name="Calibri Tur">
    <w:altName w:val="Century Gothic"/>
    <w:family w:val="swiss"/>
    <w:charset w:val="A2"/>
    <w:pitch w:val="variable"/>
  </w:font>
  <w:font w:name="Calibri (Hebrew)">
    <w:altName w:val="Century Gothic"/>
    <w:family w:val="swiss"/>
    <w:charset w:val="B1"/>
    <w:pitch w:val="variable"/>
  </w:font>
  <w:font w:name="Calibri (Arabic)">
    <w:altName w:val="Century Gothic"/>
    <w:family w:val="swiss"/>
    <w:charset w:val="B2"/>
    <w:pitch w:val="variable"/>
  </w:font>
  <w:font w:name="Calibri Baltic">
    <w:altName w:val="Century Gothic"/>
    <w:family w:val="swiss"/>
    <w:charset w:val="BA"/>
    <w:pitch w:val="variable"/>
  </w:font>
  <w:font w:name="Calibri (Vietnamese)">
    <w:altName w:val="Century Gothic"/>
    <w:family w:val="swiss"/>
    <w:charset w:val="A3"/>
    <w:pitch w:val="variable"/>
  </w:font>
  <w:font w:name="Segoe UI">
    <w:family w:val="swiss"/>
    <w:charset w:val="00"/>
    <w:pitch w:val="variable"/>
  </w:font>
  <w:font w:name="Segoe UI CE">
    <w:family w:val="swiss"/>
    <w:charset w:val="EE"/>
    <w:pitch w:val="variable"/>
  </w:font>
  <w:font w:name="Segoe UI Greek">
    <w:family w:val="swiss"/>
    <w:charset w:val="A1"/>
    <w:pitch w:val="variable"/>
  </w:font>
  <w:font w:name="Segoe UI Tur">
    <w:family w:val="swiss"/>
    <w:charset w:val="A2"/>
    <w:pitch w:val="variable"/>
  </w:font>
  <w:font w:name="Segoe UI (Hebrew)">
    <w:family w:val="swiss"/>
    <w:charset w:val="B1"/>
    <w:pitch w:val="variable"/>
  </w:font>
  <w:font w:name="Segoe UI (Arabic)">
    <w:family w:val="swiss"/>
    <w:charset w:val="B2"/>
    <w:pitch w:val="variable"/>
  </w:font>
  <w:font w:name="Segoe UI Baltic">
    <w:family w:val="swiss"/>
    <w:charset w:val="BA"/>
    <w:pitch w:val="variable"/>
  </w:font>
  <w:font w:name="Segoe UI (Vietnamese)">
    <w:family w:val="swiss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Calibri Light">
    <w:altName w:val="Arial"/>
    <w:family w:val="swiss"/>
    <w:charset w:val="00"/>
    <w:pitch w:val="variable"/>
  </w:font>
  <w:font w:name="Calibri Light CE">
    <w:altName w:val="Arial"/>
    <w:family w:val="swiss"/>
    <w:charset w:val="EE"/>
    <w:pitch w:val="variable"/>
  </w:font>
  <w:font w:name="Calibri Light Greek">
    <w:altName w:val="Arial"/>
    <w:family w:val="swiss"/>
    <w:charset w:val="A1"/>
    <w:pitch w:val="variable"/>
  </w:font>
  <w:font w:name="Calibri Light Tur">
    <w:altName w:val="Arial"/>
    <w:family w:val="swiss"/>
    <w:charset w:val="A2"/>
    <w:pitch w:val="variable"/>
  </w:font>
  <w:font w:name="Calibri Light (Hebrew)">
    <w:altName w:val="Arial"/>
    <w:family w:val="swiss"/>
    <w:charset w:val="B1"/>
    <w:pitch w:val="variable"/>
  </w:font>
  <w:font w:name="Calibri Light (Arabic)">
    <w:altName w:val="Arial"/>
    <w:family w:val="swiss"/>
    <w:charset w:val="B2"/>
    <w:pitch w:val="variable"/>
  </w:font>
  <w:font w:name="Calibri Light Baltic">
    <w:altName w:val="Arial"/>
    <w:family w:val="swiss"/>
    <w:charset w:val="BA"/>
    <w:pitch w:val="variable"/>
  </w:font>
  <w:font w:name="Calibri Light (Vietnamese)">
    <w:altName w:val="Arial"/>
    <w:family w:val="swiss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Calibri">
    <w:altName w:val="Century Gothic"/>
    <w:family w:val="swiss"/>
    <w:charset w:val="00"/>
    <w:pitch w:val="variable"/>
  </w:font>
  <w:font w:name="Calibri CE">
    <w:altName w:val="Century Gothic"/>
    <w:family w:val="swiss"/>
    <w:charset w:val="EE"/>
    <w:pitch w:val="variable"/>
  </w:font>
  <w:font w:name="Calibri Greek">
    <w:altName w:val="Century Gothic"/>
    <w:family w:val="swiss"/>
    <w:charset w:val="A1"/>
    <w:pitch w:val="variable"/>
  </w:font>
  <w:font w:name="Calibri Tur">
    <w:altName w:val="Century Gothic"/>
    <w:family w:val="swiss"/>
    <w:charset w:val="A2"/>
    <w:pitch w:val="variable"/>
  </w:font>
  <w:font w:name="Calibri (Hebrew)">
    <w:altName w:val="Century Gothic"/>
    <w:family w:val="swiss"/>
    <w:charset w:val="B1"/>
    <w:pitch w:val="variable"/>
  </w:font>
  <w:font w:name="Calibri (Arabic)">
    <w:altName w:val="Century Gothic"/>
    <w:family w:val="swiss"/>
    <w:charset w:val="B2"/>
    <w:pitch w:val="variable"/>
  </w:font>
  <w:font w:name="Calibri Baltic">
    <w:altName w:val="Century Gothic"/>
    <w:family w:val="swiss"/>
    <w:charset w:val="BA"/>
    <w:pitch w:val="variable"/>
  </w:font>
  <w:font w:name="Calibri (Vietnamese)">
    <w:altName w:val="Century Gothic"/>
    <w:family w:val="swiss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</w:fonts>
</file>

<file path=word/footnotes.xml><?xml version="1.0" encoding="utf-8"?>
<w:footnotes xmlns:wpc="http://schemas.microsoft.com/office/word/2008/6/28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08/9/16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09/2/wordml" xmlns:wpg="http://schemas.microsoft.com/office/word/2008/6/28/wordprocessingGroup" xmlns:wpi="http://schemas.microsoft.com/office/word/2008/6/28/wordprocessingInk" xmlns:wne="http://schemas.microsoft.com/office/word/2006/wordml" xmlns:wps="http://schemas.microsoft.com/office/word/2008/6/28/wordprocessingShape">
  <w:footnote w:type="separator" w:id="0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separator/>
      </w:r>
    </w:p>
  </w:footnote>
  <w:footnote w:type="continuationSeparator" w:id="1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textAlignment w:val="auto"/>
      <w:ind w:left="0" w:right="0" w:start="0" w:end="0"/>
      <w:adjustRightInd w:val="true"/>
      <w:spacing w:after="0" w:line="240"/>
      <w:bidi w:val="false"/>
      <w:tabs>
        <w:tab w:val="center" w:pos="4677"/>
        <w:tab w:val="right" w:pos="9355"/>
      </w:tabs>
      <w:rPr>
        <w:rFonts w:ascii="Times New Roman" w:eastAsia="Times New Roman" w:hAnsi="Times New Roman" w:cs="Times New Roman"/>
        <w:sz w:val="20"/>
      </w:rPr>
    </w:pPr>
    <w:fldSimple w:instr="PAGE   \* MERGEFORMAT">
      <w:r>
        <w:rPr>
          <w:rFonts w:ascii="Times New Roman" w:eastAsia="Times New Roman" w:hAnsi="Times New Roman" w:cs="Times New Roman"/>
          <w:sz w:val="20"/>
        </w:rPr>
        <w:t xml:space="preserve">2</w:t>
      </w:r>
    </w:fldSimple>
  </w:p>
  <w:p>
    <w:pPr>
      <w:jc w:val="left"/>
      <w:textAlignment w:val="auto"/>
      <w:ind w:left="0" w:right="0" w:start="0" w:end="0"/>
      <w:adjustRightInd w:val="true"/>
      <w:spacing w:after="0" w:line="240"/>
      <w:bidi w:val="false"/>
      <w:tabs>
        <w:tab w:val="center" w:pos="4677"/>
        <w:tab w:val="right" w:pos="9355"/>
      </w:tabs>
      <w:rPr>
        <w:rFonts w:ascii="Calibri" w:eastAsia="Calibri" w:hAnsi="Calibri" w:cs="Calibri"/>
        <w:sz w:val="22"/>
      </w:rPr>
    </w:pPr>
  </w:p>
</w:hdr>
</file>

<file path=word/numbering.xml><?xml version="1.0" encoding="utf-8"?>
<w:numbering xmlns:w="http://schemas.openxmlformats.org/wordprocessingml/2006/main" xmlns:r="http://schemas.openxmlformats.org/officeDocument/2006/relationships" xmlns:v="urn:schemas-microsoft-com:vml" xmlns:o="urn:schemas-microsoft-com:office:office" xmlns:wp="http://schemas.openxmlformats.org/drawingml/2006/wordprocessingDrawing" xmlns:m="http://schemas.openxmlformats.org/officeDocument/2006/math" xmlns:w10="urn:schemas-microsoft-com:office:word">
  <w:abstractNum w:abstractNumId="55129315">
    <w:multiLevelType w:val="multilevel"/>
    <w:tmpl w:val="aab2f99a"/>
    <w:lvl w:ilvl="0">
      <w:lvlJc w:val="left"/>
      <w:lvlText w:val="%1."/>
      <w:numFmt w:val="decimal"/>
      <w:start w:val="1"/>
      <w:suff w:val="tab"/>
      <w:pPr>
        <w:ind w:hanging="360" w:left="1110" w:start="1110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%1.%2"/>
      <w:numFmt w:val="decimal"/>
      <w:start w:val="1"/>
      <w:suff w:val="tab"/>
      <w:pPr>
        <w:ind w:hanging="375" w:left="1125" w:start="1125"/>
      </w:pPr>
      <w:rPr>
        <w:rFonts w:ascii="Times New Roman" w:eastAsia="Times New Roman" w:hAnsi="Times New Roman" w:cs="Times New Roman"/>
        <w:sz w:val="24"/>
      </w:rPr>
    </w:lvl>
    <w:lvl w:ilvl="2">
      <w:lvlJc w:val="left"/>
      <w:lvlText w:val="%1.%2.%3"/>
      <w:numFmt w:val="decimal"/>
      <w:start w:val="1"/>
      <w:suff w:val="tab"/>
      <w:pPr>
        <w:ind w:hanging="720" w:left="1470" w:start="1470"/>
      </w:pPr>
      <w:rPr>
        <w:rFonts w:ascii="Times New Roman" w:eastAsia="Times New Roman" w:hAnsi="Times New Roman" w:cs="Times New Roman"/>
        <w:sz w:val="24"/>
      </w:rPr>
    </w:lvl>
    <w:lvl w:ilvl="3">
      <w:lvlJc w:val="left"/>
      <w:lvlText w:val="%1.%2.%3.%4"/>
      <w:numFmt w:val="decimal"/>
      <w:start w:val="1"/>
      <w:suff w:val="tab"/>
      <w:pPr>
        <w:ind w:hanging="1080" w:left="1830" w:start="1830"/>
      </w:pPr>
      <w:rPr>
        <w:rFonts w:ascii="Times New Roman" w:eastAsia="Times New Roman" w:hAnsi="Times New Roman" w:cs="Times New Roman"/>
        <w:sz w:val="24"/>
      </w:rPr>
    </w:lvl>
    <w:lvl w:ilvl="4">
      <w:lvlJc w:val="left"/>
      <w:lvlText w:val="%1.%2.%3.%4.%5"/>
      <w:numFmt w:val="decimal"/>
      <w:start w:val="1"/>
      <w:suff w:val="tab"/>
      <w:pPr>
        <w:ind w:hanging="1080" w:left="1830" w:start="1830"/>
      </w:pPr>
      <w:rPr>
        <w:rFonts w:ascii="Times New Roman" w:eastAsia="Times New Roman" w:hAnsi="Times New Roman" w:cs="Times New Roman"/>
        <w:sz w:val="24"/>
      </w:rPr>
    </w:lvl>
    <w:lvl w:ilvl="5">
      <w:lvlJc w:val="left"/>
      <w:lvlText w:val="%1.%2.%3.%4.%5.%6"/>
      <w:numFmt w:val="decimal"/>
      <w:start w:val="1"/>
      <w:suff w:val="tab"/>
      <w:pPr>
        <w:ind w:hanging="1440" w:left="2190" w:start="2190"/>
      </w:pPr>
      <w:rPr>
        <w:rFonts w:ascii="Times New Roman" w:eastAsia="Times New Roman" w:hAnsi="Times New Roman" w:cs="Times New Roman"/>
        <w:sz w:val="24"/>
      </w:rPr>
    </w:lvl>
    <w:lvl w:ilvl="6">
      <w:lvlJc w:val="left"/>
      <w:lvlText w:val="%1.%2.%3.%4.%5.%6.%7"/>
      <w:numFmt w:val="decimal"/>
      <w:start w:val="1"/>
      <w:suff w:val="tab"/>
      <w:pPr>
        <w:ind w:hanging="1440" w:left="2190" w:start="2190"/>
      </w:pPr>
      <w:rPr>
        <w:rFonts w:ascii="Times New Roman" w:eastAsia="Times New Roman" w:hAnsi="Times New Roman" w:cs="Times New Roman"/>
        <w:sz w:val="24"/>
      </w:rPr>
    </w:lvl>
    <w:lvl w:ilvl="7">
      <w:lvlJc w:val="left"/>
      <w:lvlText w:val="%1.%2.%3.%4.%5.%6.%7.%8"/>
      <w:numFmt w:val="decimal"/>
      <w:start w:val="1"/>
      <w:suff w:val="tab"/>
      <w:pPr>
        <w:ind w:hanging="1800" w:left="2550" w:start="2550"/>
      </w:pPr>
      <w:rPr>
        <w:rFonts w:ascii="Times New Roman" w:eastAsia="Times New Roman" w:hAnsi="Times New Roman" w:cs="Times New Roman"/>
        <w:sz w:val="24"/>
      </w:rPr>
    </w:lvl>
    <w:lvl w:ilvl="8">
      <w:lvlJc w:val="left"/>
      <w:lvlText w:val="%1.%2.%3.%4.%5.%6.%7.%8.%9"/>
      <w:numFmt w:val="decimal"/>
      <w:start w:val="1"/>
      <w:suff w:val="tab"/>
      <w:pPr>
        <w:ind w:hanging="2160" w:left="2910" w:start="2910"/>
      </w:pPr>
      <w:rPr>
        <w:rFonts w:ascii="Times New Roman" w:eastAsia="Times New Roman" w:hAnsi="Times New Roman" w:cs="Times New Roman"/>
        <w:sz w:val="24"/>
      </w:rPr>
    </w:lvl>
  </w:abstractNum>
  <w:abstractNum w:abstractNumId="696976510">
    <w:multiLevelType w:val="hybridMultilevel"/>
    <w:tmpl w:val="3d204476"/>
    <w:lvl w:ilvl="0">
      <w:lvlJc w:val="left"/>
      <w:lvlText w:val="%1."/>
      <w:numFmt w:val="decimal"/>
      <w:start w:val="1"/>
      <w:suff w:val="tab"/>
      <w:pPr>
        <w:ind w:hanging="360" w:left="720" w:start="720"/>
      </w:pPr>
      <w:rPr>
        <w:rFonts w:ascii="Times New Roman" w:eastAsia="Times New Roman" w:hAnsi="Times New Roman" w:cs="Times New Roman"/>
        <w:sz w:val="24"/>
      </w:rPr>
    </w:lvl>
    <w:lvl w:ilvl="1" w:tentative="1">
      <w:lvlJc w:val="left"/>
      <w:lvlText w:val="%2."/>
      <w:numFmt w:val="lowerLetter"/>
      <w:start w:val="1"/>
      <w:suff w:val="tab"/>
      <w:pPr>
        <w:ind w:hanging="360" w:left="1440" w:start="1440"/>
      </w:pPr>
      <w:rPr>
        <w:rFonts w:ascii="Times New Roman" w:eastAsia="Times New Roman" w:hAnsi="Times New Roman" w:cs="Times New Roman"/>
        <w:sz w:val="24"/>
      </w:rPr>
    </w:lvl>
    <w:lvl w:ilvl="2" w:tentative="1">
      <w:lvlJc w:val="right"/>
      <w:lvlText w:val="%3."/>
      <w:numFmt w:val="lowerRoman"/>
      <w:start w:val="1"/>
      <w:suff w:val="tab"/>
      <w:pPr>
        <w:ind w:hanging="180" w:left="2160" w:start="2160"/>
      </w:pPr>
      <w:rPr>
        <w:rFonts w:ascii="Times New Roman" w:eastAsia="Times New Roman" w:hAnsi="Times New Roman" w:cs="Times New Roman"/>
        <w:sz w:val="24"/>
      </w:rPr>
    </w:lvl>
    <w:lvl w:ilvl="3" w:tentative="1">
      <w:lvlJc w:val="left"/>
      <w:lvlText w:val="%4."/>
      <w:numFmt w:val="decimal"/>
      <w:start w:val="1"/>
      <w:suff w:val="tab"/>
      <w:pPr>
        <w:ind w:hanging="360" w:left="2880" w:start="2880"/>
      </w:pPr>
      <w:rPr>
        <w:rFonts w:ascii="Times New Roman" w:eastAsia="Times New Roman" w:hAnsi="Times New Roman" w:cs="Times New Roman"/>
        <w:sz w:val="24"/>
      </w:rPr>
    </w:lvl>
    <w:lvl w:ilvl="4" w:tentative="1">
      <w:lvlJc w:val="left"/>
      <w:lvlText w:val="%5."/>
      <w:numFmt w:val="lowerLetter"/>
      <w:start w:val="1"/>
      <w:suff w:val="tab"/>
      <w:pPr>
        <w:ind w:hanging="360" w:left="3600" w:start="3600"/>
      </w:pPr>
      <w:rPr>
        <w:rFonts w:ascii="Times New Roman" w:eastAsia="Times New Roman" w:hAnsi="Times New Roman" w:cs="Times New Roman"/>
        <w:sz w:val="24"/>
      </w:rPr>
    </w:lvl>
    <w:lvl w:ilvl="5" w:tentative="1">
      <w:lvlJc w:val="right"/>
      <w:lvlText w:val="%6."/>
      <w:numFmt w:val="lowerRoman"/>
      <w:start w:val="1"/>
      <w:suff w:val="tab"/>
      <w:pPr>
        <w:ind w:hanging="180" w:left="4320" w:start="4320"/>
      </w:pPr>
      <w:rPr>
        <w:rFonts w:ascii="Times New Roman" w:eastAsia="Times New Roman" w:hAnsi="Times New Roman" w:cs="Times New Roman"/>
        <w:sz w:val="24"/>
      </w:rPr>
    </w:lvl>
    <w:lvl w:ilvl="6" w:tentative="1">
      <w:lvlJc w:val="left"/>
      <w:lvlText w:val="%7."/>
      <w:numFmt w:val="decimal"/>
      <w:start w:val="1"/>
      <w:suff w:val="tab"/>
      <w:pPr>
        <w:ind w:hanging="360" w:left="5040" w:start="5040"/>
      </w:pPr>
      <w:rPr>
        <w:rFonts w:ascii="Times New Roman" w:eastAsia="Times New Roman" w:hAnsi="Times New Roman" w:cs="Times New Roman"/>
        <w:sz w:val="24"/>
      </w:rPr>
    </w:lvl>
    <w:lvl w:ilvl="7" w:tentative="1">
      <w:lvlJc w:val="left"/>
      <w:lvlText w:val="%8."/>
      <w:numFmt w:val="lowerLetter"/>
      <w:start w:val="1"/>
      <w:suff w:val="tab"/>
      <w:pPr>
        <w:ind w:hanging="360" w:left="5760" w:start="5760"/>
      </w:pPr>
      <w:rPr>
        <w:rFonts w:ascii="Times New Roman" w:eastAsia="Times New Roman" w:hAnsi="Times New Roman" w:cs="Times New Roman"/>
        <w:sz w:val="24"/>
      </w:rPr>
    </w:lvl>
    <w:lvl w:ilvl="8" w:tentative="1">
      <w:lvlJc w:val="right"/>
      <w:lvlText w:val="%9."/>
      <w:numFmt w:val="lowerRoman"/>
      <w:start w:val="1"/>
      <w:suff w:val="tab"/>
      <w:pPr>
        <w:ind w:hanging="180" w:left="6480" w:start="6480"/>
      </w:pPr>
      <w:rPr>
        <w:rFonts w:ascii="Times New Roman" w:eastAsia="Times New Roman" w:hAnsi="Times New Roman" w:cs="Times New Roman"/>
        <w:sz w:val="24"/>
      </w:rPr>
    </w:lvl>
  </w:abstractNum>
  <w:num w:numId="1">
    <w:abstractNumId w:val="55129315"/>
    <w:lvlOverride w:ilvl="0">
      <w:lvl w:ilvl="0">
        <w:lvlText w:val=""/>
        <w:numFmt w:val="decimal"/>
        <w:rPr>
          <w:rFonts w:ascii="Times New Roman" w:eastAsia="Times New Roman" w:hAnsi="Times New Roman" w:cs="Times New Roman"/>
        </w:rPr>
      </w:lvl>
    </w:lvlOverride>
    <w:lvlOverride w:ilvl="0">
      <w:lvl w:ilvl="0">
        <w:lvlText w:val=""/>
        <w:numFmt w:val="decimal"/>
        <w:rPr>
          <w:rFonts w:ascii="Times New Roman" w:eastAsia="Times New Roman" w:hAnsi="Times New Roman" w:cs="Times New Roman"/>
        </w:rPr>
      </w:lvl>
    </w:lvlOverride>
    <w:lvlOverride w:ilvl="0">
      <w:lvl w:ilvl="0">
        <w:lvlText w:val=""/>
        <w:numFmt w:val="decimal"/>
        <w:rPr>
          <w:rFonts w:ascii="Times New Roman" w:eastAsia="Times New Roman" w:hAnsi="Times New Roman" w:cs="Times New Roman"/>
        </w:rPr>
      </w:lvl>
    </w:lvlOverride>
    <w:lvlOverride w:ilvl="0">
      <w:lvl w:ilvl="0">
        <w:lvlText w:val=""/>
        <w:numFmt w:val="decimal"/>
        <w:rPr>
          <w:rFonts w:ascii="Times New Roman" w:eastAsia="Times New Roman" w:hAnsi="Times New Roman" w:cs="Times New Roman"/>
        </w:rPr>
      </w:lvl>
    </w:lvlOverride>
    <w:lvlOverride w:ilvl="0">
      <w:lvl w:ilvl="0">
        <w:lvlText w:val=""/>
        <w:numFmt w:val="decimal"/>
        <w:rPr>
          <w:rFonts w:ascii="Times New Roman" w:eastAsia="Times New Roman" w:hAnsi="Times New Roman" w:cs="Times New Roman"/>
        </w:rPr>
      </w:lvl>
    </w:lvlOverride>
    <w:lvlOverride w:ilvl="0">
      <w:lvl w:ilvl="0">
        <w:lvlText w:val=""/>
        <w:numFmt w:val="decimal"/>
        <w:rPr>
          <w:rFonts w:ascii="Times New Roman" w:eastAsia="Times New Roman" w:hAnsi="Times New Roman" w:cs="Times New Roman"/>
        </w:rPr>
      </w:lvl>
    </w:lvlOverride>
    <w:lvlOverride w:ilvl="0">
      <w:lvl w:ilvl="0">
        <w:lvlText w:val=""/>
        <w:numFmt w:val="decimal"/>
        <w:rPr>
          <w:rFonts w:ascii="Times New Roman" w:eastAsia="Times New Roman" w:hAnsi="Times New Roman" w:cs="Times New Roman"/>
        </w:rPr>
      </w:lvl>
    </w:lvlOverride>
    <w:lvlOverride w:ilvl="0">
      <w:lvl w:ilvl="0">
        <w:lvlText w:val=""/>
        <w:numFmt w:val="decimal"/>
        <w:rPr>
          <w:rFonts w:ascii="Times New Roman" w:eastAsia="Times New Roman" w:hAnsi="Times New Roman" w:cs="Times New Roman"/>
        </w:rPr>
      </w:lvl>
    </w:lvlOverride>
    <w:lvlOverride w:ilvl="0">
      <w:lvl w:ilvl="0">
        <w:lvlText w:val=""/>
        <w:numFmt w:val="decimal"/>
        <w:rPr>
          <w:rFonts w:ascii="Times New Roman" w:eastAsia="Times New Roman" w:hAnsi="Times New Roman" w:cs="Times New Roman"/>
        </w:rPr>
      </w:lvl>
    </w:lvlOverride>
  </w:num>
  <w:num w:numId="2">
    <w:abstractNumId w:val="696976510"/>
  </w:num>
</w:numbering>
</file>

<file path=word/settings.xml><?xml version="1.0" encoding="utf-8"?>
<w:settings xmlns:w="http://schemas.openxmlformats.org/wordprocessingml/2006/main" xmlns:m="http://schemas.openxmlformats.org/officeDocument/2006/math">
  <w:zoom w:percent="100"/>
  <w:defaultTabStop w:val="708"/>
  <w:characterSpacingControl xmlns:w="http://schemas.openxmlformats.org/wordprocessingml/2006/main" w:val="doNotCompress"/>
  <w:compat xmlns:w="http://schemas.openxmlformats.org/wordprocessingml/2006/main"/>
  <m:mathPr>
    <m:mathFont m:val="Cambria Math"/>
    <m:brkBin m:val="before"/>
    <m:brkBinSub m:val="--"/>
    <m:smallFrac w:val="0"/>
    <m:dispDef w:val="1"/>
    <m:lMargin w:val="0"/>
    <m:rMargin w:val="0"/>
    <m:defJc m:val="centerGroup"/>
    <m:wrapIndent w:val="1440"/>
    <m:intLim xmlns:m="http://schemas.openxmlformats.org/officeDocument/2006/math" m:val="subSup"/>
    <m:naryLim m:val="undOvr"/>
  </m:mathPr>
  <w:themeFontLang xmlns:w="http://schemas.openxmlformats.org/wordprocessingml/2006/main" w:val="ru-RU"/>
  <w:clrSchemeMapping xmlns:w="http://schemas.openxmlformats.org/wordprocessingml/2006/main" w:bg1="light1" w:t1="dark1" w:bg2="light2" w:t2="dark2" w:accent1="accent1" w:accent2="accent2" w:accent3="accent3" w:accent4="accent4" w:accent5="accent5" w:accent6="accent6" w:hyperlink="hyperlink" w:followedHyperlink="followedHyperlink"/>
  <w:shapeDefaults xmlns:w="http://schemas.openxmlformats.org/wordprocessingml/2006/main">
    <o:shapedefaults xmlns:o="urn:schemas-microsoft-com:office:office" xmlns:v="urn:schemas-microsoft-com:vml" v:ext="edit" spidmax="2050"/>
    <o:shapelayout xmlns:o="urn:schemas-microsoft-com:office:office" xmlns:v="urn:schemas-microsoft-com:vml" v:ext="edit">
      <o:idmap v:ext="edit" data="1"/>
    </o:shapelayout>
  </w:shapeDefaults>
  <w:decimalSymbol xmlns:w="http://schemas.openxmlformats.org/wordprocessingml/2006/main" w:val=","/>
  <w:listSeparator xmlns:w="http://schemas.openxmlformats.org/wordprocessingml/2006/main" w:val=";"/>
  <w:bordersDoNotSurroundHeader xmlns:w="http://schemas.openxmlformats.org/wordprocessingml/2006/main" w:val="false"/>
  <w:bordersDoNotSurroundFooter xmlns:w="http://schemas.openxmlformats.org/wordprocessingml/2006/main" w:val="false"/>
  <w:footnotePr xmlns:w="http://schemas.openxmlformats.org/wordprocessingml/2006/main">
    <w:footnote w:id="0"/>
    <w:footnote w:id="1"/>
    <w:pos w:val="pageBottom"/>
  </w:footnotePr>
  <w:endnotePr xmlns:w="http://schemas.openxmlformats.org/wordprocessingml/2006/main">
    <w:endnote w:id="0"/>
    <w:endnote w:id="1"/>
    <w:pos w:val="docEnd"/>
  </w:endnotePr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_rels/document.xml.rels><?xml version="1.0" encoding="UTF-8" standalone="yes"?>
<Relationships xmlns="http://schemas.openxmlformats.org/package/2006/relationships"><Relationship Id="rId2" Type="http://schemas.openxmlformats.org/officeDocument/2006/relationships/image" Target="media/Image1.png"/><Relationship Id="rId3" Type="http://schemas.openxmlformats.org/officeDocument/2006/relationships/theme" Target="theme/theme1.xml"/><Relationship Id="rId4" Type="http://schemas.openxmlformats.org/officeDocument/2006/relationships/header" Target="header1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numbering" Target="numbering.xml"/><Relationship Id="rId8" Type="http://schemas.openxmlformats.org/officeDocument/2006/relationships/styles" Target="styles.xml"/><Relationship Id="rId9" Type="http://schemas.openxmlformats.org/officeDocument/2006/relationships/fontTable" Target="fontTable.xml"/><Relationship Id="rId1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xmlns:mc="http://schemas.openxmlformats.org/markup-compatibility/2006" xmlns:a14="http://schemas.microsoft.com/office/drawing/2007/7/7/main" val="1F497D" mc:Ignorable=""/>
      </a:dk2>
      <a:lt2>
        <a:srgbClr xmlns:mc="http://schemas.openxmlformats.org/markup-compatibility/2006" xmlns:a14="http://schemas.microsoft.com/office/drawing/2007/7/7/main" val="EEECE1" mc:Ignorable=""/>
      </a:lt2>
      <a:accent1>
        <a:srgbClr xmlns:mc="http://schemas.openxmlformats.org/markup-compatibility/2006" xmlns:a14="http://schemas.microsoft.com/office/drawing/2007/7/7/main" val="4F81BD" mc:Ignorable=""/>
      </a:accent1>
      <a:accent2>
        <a:srgbClr xmlns:mc="http://schemas.openxmlformats.org/markup-compatibility/2006" xmlns:a14="http://schemas.microsoft.com/office/drawing/2007/7/7/main" val="C0504D" mc:Ignorable=""/>
      </a:accent2>
      <a:accent3>
        <a:srgbClr xmlns:mc="http://schemas.openxmlformats.org/markup-compatibility/2006" xmlns:a14="http://schemas.microsoft.com/office/drawing/2007/7/7/main" val="9BBB59" mc:Ignorable=""/>
      </a:accent3>
      <a:accent4>
        <a:srgbClr xmlns:mc="http://schemas.openxmlformats.org/markup-compatibility/2006" xmlns:a14="http://schemas.microsoft.com/office/drawing/2007/7/7/main" val="8064A2" mc:Ignorable=""/>
      </a:accent4>
      <a:accent5>
        <a:srgbClr xmlns:mc="http://schemas.openxmlformats.org/markup-compatibility/2006" xmlns:a14="http://schemas.microsoft.com/office/drawing/2007/7/7/main" val="4BACC6" mc:Ignorable=""/>
      </a:accent5>
      <a:accent6>
        <a:srgbClr xmlns:mc="http://schemas.openxmlformats.org/markup-compatibility/2006" xmlns:a14="http://schemas.microsoft.com/office/drawing/2007/7/7/main" val="F79646" mc:Ignorable=""/>
      </a:accent6>
      <a:hlink>
        <a:srgbClr xmlns:mc="http://schemas.openxmlformats.org/markup-compatibility/2006" xmlns:a14="http://schemas.microsoft.com/office/drawing/2007/7/7/main" val="0000FF" mc:Ignorable=""/>
      </a:hlink>
      <a:folHlink>
        <a:srgbClr xmlns:mc="http://schemas.openxmlformats.org/markup-compatibility/2006" xmlns:a14="http://schemas.microsoft.com/office/drawing/2007/7/7/main" val="800080" mc:Ignorable="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xmlns:mc="http://schemas.openxmlformats.org/markup-compatibility/2006" xmlns:a14="http://schemas.microsoft.com/office/drawing/2007/7/7/main" val="000000" mc:Ignorable="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07/7/7/main" val="000000" mc:Ignorable="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07/7/7/main" val="000000" mc:Ignorable="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>
  <TotalTime>12</TotalTime>
  <Pages>2</Pages>
  <Words>335</Words>
  <Characters>1915</Characters>
  <CharactersWithSpaces>2246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Лугинина Виктория</dc:creator>
</cp:coreProperties>
</file>